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90F9" w14:textId="10B84410" w:rsidR="005F3A73" w:rsidRPr="003F5B3C" w:rsidRDefault="005F3A73" w:rsidP="005F3A73">
      <w:pPr>
        <w:jc w:val="both"/>
        <w:rPr>
          <w:b/>
          <w:sz w:val="18"/>
          <w:szCs w:val="18"/>
          <w:lang w:val="ro-MD"/>
        </w:rPr>
      </w:pPr>
      <w:r w:rsidRPr="003F5B3C">
        <w:rPr>
          <w:b/>
          <w:sz w:val="18"/>
          <w:szCs w:val="18"/>
          <w:lang w:val="ro-MD"/>
        </w:rPr>
        <w:t xml:space="preserve">                                                                                                                                                                                                                                                                                                                                                                                                                                                          Tabelul de </w:t>
      </w:r>
      <w:proofErr w:type="spellStart"/>
      <w:r w:rsidRPr="003F5B3C">
        <w:rPr>
          <w:b/>
          <w:sz w:val="18"/>
          <w:szCs w:val="18"/>
          <w:lang w:val="ro-MD"/>
        </w:rPr>
        <w:t>concordanţă</w:t>
      </w:r>
      <w:proofErr w:type="spellEnd"/>
      <w:r w:rsidRPr="003F5B3C">
        <w:rPr>
          <w:b/>
          <w:sz w:val="18"/>
          <w:szCs w:val="18"/>
          <w:lang w:val="ro-MD"/>
        </w:rPr>
        <w:t xml:space="preserve"> </w:t>
      </w:r>
    </w:p>
    <w:p w14:paraId="73E36AB5" w14:textId="77777777" w:rsidR="005F3A73" w:rsidRPr="003F5B3C" w:rsidRDefault="005F3A73" w:rsidP="005F3A73">
      <w:pPr>
        <w:jc w:val="both"/>
        <w:rPr>
          <w:b/>
          <w:sz w:val="18"/>
          <w:szCs w:val="18"/>
          <w:lang w:val="ro-MD"/>
        </w:rPr>
      </w:pPr>
    </w:p>
    <w:p w14:paraId="7FD294B9" w14:textId="2DD0976D" w:rsidR="005F3A73" w:rsidRPr="003F5B3C" w:rsidRDefault="00B93C1C" w:rsidP="005F3A73">
      <w:pPr>
        <w:jc w:val="both"/>
        <w:rPr>
          <w:rFonts w:eastAsia="Arial Unicode MS"/>
          <w:b/>
          <w:bCs/>
          <w:sz w:val="18"/>
          <w:szCs w:val="18"/>
          <w:lang w:val="ro-MD"/>
        </w:rPr>
      </w:pPr>
      <w:r w:rsidRPr="003F5B3C">
        <w:rPr>
          <w:rFonts w:eastAsia="Arial Unicode MS"/>
          <w:b/>
          <w:bCs/>
          <w:sz w:val="18"/>
          <w:szCs w:val="18"/>
          <w:lang w:val="ro-MD"/>
        </w:rPr>
        <w:t>Regulamentul nr. 575/2013 al Parlamentului European și al Consiliului din 26 iunie 2013 privind cerințele prudențiale pentru instituțiile de credit și de modificare a Regulamentului (UE) nr. 648/2012, publicat în Jurnalul Oficial al Uniuni Europene L 176 din 27 iunie 2013, CELEX: 32013R0575, așa cum a fost modificat ultima dată prin Regulamentul (UE) 2023/2869 al Parlamentului European și al Consiliului din 13 decembrie 2023</w:t>
      </w:r>
    </w:p>
    <w:p w14:paraId="68723932" w14:textId="77777777" w:rsidR="00B93C1C" w:rsidRPr="003F5B3C" w:rsidRDefault="00B93C1C" w:rsidP="005F3A73">
      <w:pPr>
        <w:jc w:val="both"/>
        <w:rPr>
          <w:b/>
          <w:bCs/>
          <w:sz w:val="18"/>
          <w:szCs w:val="18"/>
          <w:lang w:val="ro-MD"/>
        </w:rPr>
      </w:pPr>
    </w:p>
    <w:tbl>
      <w:tblPr>
        <w:tblStyle w:val="TableGrid"/>
        <w:tblW w:w="14406" w:type="dxa"/>
        <w:tblLook w:val="04A0" w:firstRow="1" w:lastRow="0" w:firstColumn="1" w:lastColumn="0" w:noHBand="0" w:noVBand="1"/>
      </w:tblPr>
      <w:tblGrid>
        <w:gridCol w:w="1036"/>
        <w:gridCol w:w="13370"/>
      </w:tblGrid>
      <w:tr w:rsidR="005C1753" w:rsidRPr="006D6A9C" w14:paraId="4234AB45" w14:textId="77777777" w:rsidTr="00F53042">
        <w:tc>
          <w:tcPr>
            <w:tcW w:w="1036" w:type="dxa"/>
            <w:vMerge w:val="restart"/>
          </w:tcPr>
          <w:p w14:paraId="156328E2" w14:textId="61E2B53F" w:rsidR="005C1753" w:rsidRPr="003F5B3C" w:rsidRDefault="005736A5" w:rsidP="005736A5">
            <w:pPr>
              <w:tabs>
                <w:tab w:val="left" w:pos="360"/>
              </w:tabs>
              <w:ind w:left="360"/>
              <w:jc w:val="center"/>
              <w:rPr>
                <w:rFonts w:eastAsia="Arial Unicode MS"/>
                <w:b/>
                <w:bCs/>
                <w:sz w:val="18"/>
                <w:szCs w:val="18"/>
                <w:lang w:val="ro-MD"/>
              </w:rPr>
            </w:pPr>
            <w:r w:rsidRPr="003F5B3C">
              <w:rPr>
                <w:rFonts w:eastAsia="Arial Unicode MS"/>
                <w:b/>
                <w:bCs/>
                <w:sz w:val="18"/>
                <w:szCs w:val="18"/>
                <w:lang w:val="ro-MD"/>
              </w:rPr>
              <w:t>1</w:t>
            </w:r>
          </w:p>
        </w:tc>
        <w:tc>
          <w:tcPr>
            <w:tcW w:w="13370" w:type="dxa"/>
          </w:tcPr>
          <w:p w14:paraId="4CA071A5" w14:textId="79606CB9" w:rsidR="005C1753" w:rsidRPr="003F5B3C" w:rsidRDefault="005C1753" w:rsidP="00100467">
            <w:pPr>
              <w:tabs>
                <w:tab w:val="left" w:pos="288"/>
              </w:tabs>
              <w:jc w:val="both"/>
              <w:rPr>
                <w:b/>
                <w:bCs/>
                <w:sz w:val="18"/>
                <w:szCs w:val="18"/>
                <w:lang w:val="ro-MD"/>
              </w:rPr>
            </w:pPr>
            <w:r w:rsidRPr="003F5B3C">
              <w:rPr>
                <w:rFonts w:eastAsia="Arial Unicode MS"/>
                <w:b/>
                <w:bCs/>
                <w:sz w:val="18"/>
                <w:szCs w:val="18"/>
                <w:lang w:val="ro-MD"/>
              </w:rPr>
              <w:t>Titlul actului Uniunii Europene, inclusiv ce</w:t>
            </w:r>
            <w:r w:rsidR="005736A5" w:rsidRPr="003F5B3C">
              <w:rPr>
                <w:rFonts w:eastAsia="Arial Unicode MS"/>
                <w:b/>
                <w:bCs/>
                <w:sz w:val="18"/>
                <w:szCs w:val="18"/>
                <w:lang w:val="ro-MD"/>
              </w:rPr>
              <w:t>a</w:t>
            </w:r>
            <w:r w:rsidRPr="003F5B3C">
              <w:rPr>
                <w:rFonts w:eastAsia="Arial Unicode MS"/>
                <w:b/>
                <w:bCs/>
                <w:sz w:val="18"/>
                <w:szCs w:val="18"/>
                <w:lang w:val="ro-MD"/>
              </w:rPr>
              <w:t xml:space="preserve"> mai recent</w:t>
            </w:r>
            <w:r w:rsidR="005736A5" w:rsidRPr="003F5B3C">
              <w:rPr>
                <w:rFonts w:eastAsia="Arial Unicode MS"/>
                <w:b/>
                <w:bCs/>
                <w:sz w:val="18"/>
                <w:szCs w:val="18"/>
                <w:lang w:val="ro-MD"/>
              </w:rPr>
              <w:t xml:space="preserve">ă modificare, </w:t>
            </w:r>
            <w:proofErr w:type="spellStart"/>
            <w:r w:rsidR="005736A5" w:rsidRPr="003F5B3C">
              <w:rPr>
                <w:rFonts w:eastAsia="Arial Unicode MS"/>
                <w:b/>
                <w:bCs/>
                <w:sz w:val="18"/>
                <w:szCs w:val="18"/>
                <w:lang w:val="ro-MD"/>
              </w:rPr>
              <w:t>nr.CELEX</w:t>
            </w:r>
            <w:proofErr w:type="spellEnd"/>
          </w:p>
        </w:tc>
      </w:tr>
      <w:tr w:rsidR="005C1753" w:rsidRPr="006D6A9C" w14:paraId="22BB6EA7" w14:textId="77777777" w:rsidTr="00F53042">
        <w:trPr>
          <w:trHeight w:val="750"/>
        </w:trPr>
        <w:tc>
          <w:tcPr>
            <w:tcW w:w="1036" w:type="dxa"/>
            <w:vMerge/>
          </w:tcPr>
          <w:p w14:paraId="3FEFA6A8" w14:textId="77777777" w:rsidR="005C1753" w:rsidRPr="003F5B3C" w:rsidRDefault="005C1753" w:rsidP="005736A5">
            <w:pPr>
              <w:tabs>
                <w:tab w:val="left" w:pos="360"/>
              </w:tabs>
              <w:spacing w:before="240" w:after="240"/>
              <w:jc w:val="center"/>
              <w:rPr>
                <w:rFonts w:eastAsia="Arial Unicode MS"/>
                <w:bCs/>
                <w:sz w:val="18"/>
                <w:szCs w:val="18"/>
                <w:lang w:val="ro-MD"/>
              </w:rPr>
            </w:pPr>
          </w:p>
        </w:tc>
        <w:tc>
          <w:tcPr>
            <w:tcW w:w="13370" w:type="dxa"/>
            <w:vAlign w:val="center"/>
          </w:tcPr>
          <w:p w14:paraId="5F28290B" w14:textId="18E7BDFB" w:rsidR="005C1753" w:rsidRPr="003F5B3C" w:rsidRDefault="00100467" w:rsidP="00100467">
            <w:pPr>
              <w:pStyle w:val="title-doc-first"/>
              <w:autoSpaceDE w:val="0"/>
              <w:autoSpaceDN w:val="0"/>
              <w:adjustRightInd w:val="0"/>
              <w:spacing w:before="0"/>
              <w:jc w:val="both"/>
              <w:rPr>
                <w:b w:val="0"/>
                <w:bCs w:val="0"/>
                <w:sz w:val="18"/>
                <w:szCs w:val="18"/>
                <w:lang w:val="ro-MD"/>
              </w:rPr>
            </w:pPr>
            <w:proofErr w:type="spellStart"/>
            <w:r w:rsidRPr="003F5B3C">
              <w:rPr>
                <w:b w:val="0"/>
                <w:bCs w:val="0"/>
                <w:sz w:val="18"/>
                <w:szCs w:val="18"/>
              </w:rPr>
              <w:t>Regulamentul</w:t>
            </w:r>
            <w:proofErr w:type="spellEnd"/>
            <w:r w:rsidRPr="003F5B3C">
              <w:rPr>
                <w:b w:val="0"/>
                <w:bCs w:val="0"/>
                <w:sz w:val="18"/>
                <w:szCs w:val="18"/>
              </w:rPr>
              <w:t xml:space="preserve"> nr. 575/2013 al </w:t>
            </w:r>
            <w:proofErr w:type="spellStart"/>
            <w:r w:rsidRPr="003F5B3C">
              <w:rPr>
                <w:b w:val="0"/>
                <w:bCs w:val="0"/>
                <w:sz w:val="18"/>
                <w:szCs w:val="18"/>
              </w:rPr>
              <w:t>Parlamentului</w:t>
            </w:r>
            <w:proofErr w:type="spellEnd"/>
            <w:r w:rsidRPr="003F5B3C">
              <w:rPr>
                <w:b w:val="0"/>
                <w:bCs w:val="0"/>
                <w:sz w:val="18"/>
                <w:szCs w:val="18"/>
              </w:rPr>
              <w:t xml:space="preserve"> European </w:t>
            </w:r>
            <w:proofErr w:type="spellStart"/>
            <w:r w:rsidRPr="003F5B3C">
              <w:rPr>
                <w:b w:val="0"/>
                <w:bCs w:val="0"/>
                <w:sz w:val="18"/>
                <w:szCs w:val="18"/>
              </w:rPr>
              <w:t>și</w:t>
            </w:r>
            <w:proofErr w:type="spellEnd"/>
            <w:r w:rsidRPr="003F5B3C">
              <w:rPr>
                <w:b w:val="0"/>
                <w:bCs w:val="0"/>
                <w:sz w:val="18"/>
                <w:szCs w:val="18"/>
              </w:rPr>
              <w:t xml:space="preserve"> al </w:t>
            </w:r>
            <w:proofErr w:type="spellStart"/>
            <w:r w:rsidRPr="003F5B3C">
              <w:rPr>
                <w:b w:val="0"/>
                <w:bCs w:val="0"/>
                <w:sz w:val="18"/>
                <w:szCs w:val="18"/>
              </w:rPr>
              <w:t>Consiliului</w:t>
            </w:r>
            <w:proofErr w:type="spellEnd"/>
            <w:r w:rsidRPr="003F5B3C">
              <w:rPr>
                <w:b w:val="0"/>
                <w:bCs w:val="0"/>
                <w:sz w:val="18"/>
                <w:szCs w:val="18"/>
              </w:rPr>
              <w:t xml:space="preserve"> din 26 </w:t>
            </w:r>
            <w:proofErr w:type="spellStart"/>
            <w:r w:rsidRPr="003F5B3C">
              <w:rPr>
                <w:b w:val="0"/>
                <w:bCs w:val="0"/>
                <w:sz w:val="18"/>
                <w:szCs w:val="18"/>
              </w:rPr>
              <w:t>iunie</w:t>
            </w:r>
            <w:proofErr w:type="spellEnd"/>
            <w:r w:rsidRPr="003F5B3C">
              <w:rPr>
                <w:b w:val="0"/>
                <w:bCs w:val="0"/>
                <w:sz w:val="18"/>
                <w:szCs w:val="18"/>
              </w:rPr>
              <w:t xml:space="preserve"> 2013 </w:t>
            </w:r>
            <w:proofErr w:type="spellStart"/>
            <w:r w:rsidRPr="003F5B3C">
              <w:rPr>
                <w:b w:val="0"/>
                <w:bCs w:val="0"/>
                <w:sz w:val="18"/>
                <w:szCs w:val="18"/>
              </w:rPr>
              <w:t>privind</w:t>
            </w:r>
            <w:proofErr w:type="spellEnd"/>
            <w:r w:rsidRPr="003F5B3C">
              <w:rPr>
                <w:b w:val="0"/>
                <w:bCs w:val="0"/>
                <w:sz w:val="18"/>
                <w:szCs w:val="18"/>
              </w:rPr>
              <w:t xml:space="preserve"> </w:t>
            </w:r>
            <w:proofErr w:type="spellStart"/>
            <w:r w:rsidRPr="003F5B3C">
              <w:rPr>
                <w:b w:val="0"/>
                <w:bCs w:val="0"/>
                <w:sz w:val="18"/>
                <w:szCs w:val="18"/>
              </w:rPr>
              <w:t>cerințele</w:t>
            </w:r>
            <w:proofErr w:type="spellEnd"/>
            <w:r w:rsidRPr="003F5B3C">
              <w:rPr>
                <w:b w:val="0"/>
                <w:bCs w:val="0"/>
                <w:sz w:val="18"/>
                <w:szCs w:val="18"/>
              </w:rPr>
              <w:t xml:space="preserve"> </w:t>
            </w:r>
            <w:proofErr w:type="spellStart"/>
            <w:r w:rsidRPr="003F5B3C">
              <w:rPr>
                <w:b w:val="0"/>
                <w:bCs w:val="0"/>
                <w:sz w:val="18"/>
                <w:szCs w:val="18"/>
              </w:rPr>
              <w:t>prudențiale</w:t>
            </w:r>
            <w:proofErr w:type="spellEnd"/>
            <w:r w:rsidRPr="003F5B3C">
              <w:rPr>
                <w:b w:val="0"/>
                <w:bCs w:val="0"/>
                <w:sz w:val="18"/>
                <w:szCs w:val="18"/>
              </w:rPr>
              <w:t xml:space="preserve"> </w:t>
            </w:r>
            <w:proofErr w:type="spellStart"/>
            <w:r w:rsidRPr="003F5B3C">
              <w:rPr>
                <w:b w:val="0"/>
                <w:bCs w:val="0"/>
                <w:sz w:val="18"/>
                <w:szCs w:val="18"/>
              </w:rPr>
              <w:t>pentru</w:t>
            </w:r>
            <w:proofErr w:type="spellEnd"/>
            <w:r w:rsidRPr="003F5B3C">
              <w:rPr>
                <w:b w:val="0"/>
                <w:bCs w:val="0"/>
                <w:sz w:val="18"/>
                <w:szCs w:val="18"/>
              </w:rPr>
              <w:t xml:space="preserve"> </w:t>
            </w:r>
            <w:proofErr w:type="spellStart"/>
            <w:r w:rsidRPr="003F5B3C">
              <w:rPr>
                <w:b w:val="0"/>
                <w:bCs w:val="0"/>
                <w:sz w:val="18"/>
                <w:szCs w:val="18"/>
              </w:rPr>
              <w:t>instituțiile</w:t>
            </w:r>
            <w:proofErr w:type="spellEnd"/>
            <w:r w:rsidRPr="003F5B3C">
              <w:rPr>
                <w:b w:val="0"/>
                <w:bCs w:val="0"/>
                <w:sz w:val="18"/>
                <w:szCs w:val="18"/>
              </w:rPr>
              <w:t xml:space="preserve"> de credit </w:t>
            </w:r>
            <w:proofErr w:type="spellStart"/>
            <w:r w:rsidRPr="003F5B3C">
              <w:rPr>
                <w:b w:val="0"/>
                <w:bCs w:val="0"/>
                <w:sz w:val="18"/>
                <w:szCs w:val="18"/>
              </w:rPr>
              <w:t>și</w:t>
            </w:r>
            <w:proofErr w:type="spellEnd"/>
            <w:r w:rsidRPr="003F5B3C">
              <w:rPr>
                <w:b w:val="0"/>
                <w:bCs w:val="0"/>
                <w:sz w:val="18"/>
                <w:szCs w:val="18"/>
              </w:rPr>
              <w:t xml:space="preserve"> de </w:t>
            </w:r>
            <w:proofErr w:type="spellStart"/>
            <w:r w:rsidRPr="003F5B3C">
              <w:rPr>
                <w:b w:val="0"/>
                <w:bCs w:val="0"/>
                <w:sz w:val="18"/>
                <w:szCs w:val="18"/>
              </w:rPr>
              <w:t>modificare</w:t>
            </w:r>
            <w:proofErr w:type="spellEnd"/>
            <w:r w:rsidRPr="003F5B3C">
              <w:rPr>
                <w:b w:val="0"/>
                <w:bCs w:val="0"/>
                <w:sz w:val="18"/>
                <w:szCs w:val="18"/>
              </w:rPr>
              <w:t xml:space="preserve"> a </w:t>
            </w:r>
            <w:proofErr w:type="spellStart"/>
            <w:r w:rsidRPr="003F5B3C">
              <w:rPr>
                <w:b w:val="0"/>
                <w:bCs w:val="0"/>
                <w:sz w:val="18"/>
                <w:szCs w:val="18"/>
              </w:rPr>
              <w:t>Regulamentului</w:t>
            </w:r>
            <w:proofErr w:type="spellEnd"/>
            <w:r w:rsidRPr="003F5B3C">
              <w:rPr>
                <w:b w:val="0"/>
                <w:bCs w:val="0"/>
                <w:sz w:val="18"/>
                <w:szCs w:val="18"/>
              </w:rPr>
              <w:t xml:space="preserve"> (UE) nr. 648/2012, </w:t>
            </w:r>
            <w:proofErr w:type="spellStart"/>
            <w:r w:rsidRPr="003F5B3C">
              <w:rPr>
                <w:b w:val="0"/>
                <w:bCs w:val="0"/>
                <w:sz w:val="18"/>
                <w:szCs w:val="18"/>
              </w:rPr>
              <w:t>publicat</w:t>
            </w:r>
            <w:proofErr w:type="spellEnd"/>
            <w:r w:rsidRPr="003F5B3C">
              <w:rPr>
                <w:b w:val="0"/>
                <w:bCs w:val="0"/>
                <w:sz w:val="18"/>
                <w:szCs w:val="18"/>
              </w:rPr>
              <w:t xml:space="preserve"> </w:t>
            </w:r>
            <w:proofErr w:type="spellStart"/>
            <w:r w:rsidRPr="003F5B3C">
              <w:rPr>
                <w:b w:val="0"/>
                <w:bCs w:val="0"/>
                <w:sz w:val="18"/>
                <w:szCs w:val="18"/>
              </w:rPr>
              <w:t>în</w:t>
            </w:r>
            <w:proofErr w:type="spellEnd"/>
            <w:r w:rsidRPr="003F5B3C">
              <w:rPr>
                <w:b w:val="0"/>
                <w:bCs w:val="0"/>
                <w:sz w:val="18"/>
                <w:szCs w:val="18"/>
              </w:rPr>
              <w:t xml:space="preserve"> Jurnalul </w:t>
            </w:r>
            <w:proofErr w:type="spellStart"/>
            <w:r w:rsidRPr="003F5B3C">
              <w:rPr>
                <w:b w:val="0"/>
                <w:bCs w:val="0"/>
                <w:sz w:val="18"/>
                <w:szCs w:val="18"/>
              </w:rPr>
              <w:t>Oficial</w:t>
            </w:r>
            <w:proofErr w:type="spellEnd"/>
            <w:r w:rsidRPr="003F5B3C">
              <w:rPr>
                <w:b w:val="0"/>
                <w:bCs w:val="0"/>
                <w:sz w:val="18"/>
                <w:szCs w:val="18"/>
              </w:rPr>
              <w:t xml:space="preserve"> al </w:t>
            </w:r>
            <w:proofErr w:type="spellStart"/>
            <w:r w:rsidRPr="003F5B3C">
              <w:rPr>
                <w:b w:val="0"/>
                <w:bCs w:val="0"/>
                <w:sz w:val="18"/>
                <w:szCs w:val="18"/>
              </w:rPr>
              <w:t>Uniuni</w:t>
            </w:r>
            <w:proofErr w:type="spellEnd"/>
            <w:r w:rsidRPr="003F5B3C">
              <w:rPr>
                <w:b w:val="0"/>
                <w:bCs w:val="0"/>
                <w:sz w:val="18"/>
                <w:szCs w:val="18"/>
              </w:rPr>
              <w:t xml:space="preserve"> </w:t>
            </w:r>
            <w:proofErr w:type="spellStart"/>
            <w:r w:rsidRPr="003F5B3C">
              <w:rPr>
                <w:b w:val="0"/>
                <w:bCs w:val="0"/>
                <w:sz w:val="18"/>
                <w:szCs w:val="18"/>
              </w:rPr>
              <w:t>Europene</w:t>
            </w:r>
            <w:proofErr w:type="spellEnd"/>
            <w:r w:rsidRPr="003F5B3C">
              <w:rPr>
                <w:b w:val="0"/>
                <w:bCs w:val="0"/>
                <w:sz w:val="18"/>
                <w:szCs w:val="18"/>
              </w:rPr>
              <w:t xml:space="preserve"> L 176 din 27 </w:t>
            </w:r>
            <w:proofErr w:type="spellStart"/>
            <w:r w:rsidRPr="003F5B3C">
              <w:rPr>
                <w:b w:val="0"/>
                <w:bCs w:val="0"/>
                <w:sz w:val="18"/>
                <w:szCs w:val="18"/>
              </w:rPr>
              <w:t>iunie</w:t>
            </w:r>
            <w:proofErr w:type="spellEnd"/>
            <w:r w:rsidRPr="003F5B3C">
              <w:rPr>
                <w:b w:val="0"/>
                <w:bCs w:val="0"/>
                <w:sz w:val="18"/>
                <w:szCs w:val="18"/>
              </w:rPr>
              <w:t xml:space="preserve"> 2013, CELEX: 32013R0575, </w:t>
            </w:r>
            <w:proofErr w:type="spellStart"/>
            <w:r w:rsidRPr="003F5B3C">
              <w:rPr>
                <w:b w:val="0"/>
                <w:bCs w:val="0"/>
                <w:sz w:val="18"/>
                <w:szCs w:val="18"/>
              </w:rPr>
              <w:t>așa</w:t>
            </w:r>
            <w:proofErr w:type="spellEnd"/>
            <w:r w:rsidRPr="003F5B3C">
              <w:rPr>
                <w:b w:val="0"/>
                <w:bCs w:val="0"/>
                <w:sz w:val="18"/>
                <w:szCs w:val="18"/>
              </w:rPr>
              <w:t xml:space="preserve"> cum a </w:t>
            </w:r>
            <w:proofErr w:type="spellStart"/>
            <w:r w:rsidRPr="003F5B3C">
              <w:rPr>
                <w:b w:val="0"/>
                <w:bCs w:val="0"/>
                <w:sz w:val="18"/>
                <w:szCs w:val="18"/>
              </w:rPr>
              <w:t>fost</w:t>
            </w:r>
            <w:proofErr w:type="spellEnd"/>
            <w:r w:rsidRPr="003F5B3C">
              <w:rPr>
                <w:b w:val="0"/>
                <w:bCs w:val="0"/>
                <w:sz w:val="18"/>
                <w:szCs w:val="18"/>
              </w:rPr>
              <w:t xml:space="preserve"> </w:t>
            </w:r>
            <w:proofErr w:type="spellStart"/>
            <w:r w:rsidRPr="003F5B3C">
              <w:rPr>
                <w:b w:val="0"/>
                <w:bCs w:val="0"/>
                <w:sz w:val="18"/>
                <w:szCs w:val="18"/>
              </w:rPr>
              <w:t>modificat</w:t>
            </w:r>
            <w:proofErr w:type="spellEnd"/>
            <w:r w:rsidRPr="003F5B3C">
              <w:rPr>
                <w:b w:val="0"/>
                <w:bCs w:val="0"/>
                <w:sz w:val="18"/>
                <w:szCs w:val="18"/>
              </w:rPr>
              <w:t xml:space="preserve"> ultima </w:t>
            </w:r>
            <w:proofErr w:type="spellStart"/>
            <w:r w:rsidRPr="003F5B3C">
              <w:rPr>
                <w:b w:val="0"/>
                <w:bCs w:val="0"/>
                <w:sz w:val="18"/>
                <w:szCs w:val="18"/>
              </w:rPr>
              <w:t>dată</w:t>
            </w:r>
            <w:proofErr w:type="spellEnd"/>
            <w:r w:rsidRPr="003F5B3C">
              <w:rPr>
                <w:b w:val="0"/>
                <w:bCs w:val="0"/>
                <w:sz w:val="18"/>
                <w:szCs w:val="18"/>
              </w:rPr>
              <w:t xml:space="preserve"> </w:t>
            </w:r>
            <w:proofErr w:type="spellStart"/>
            <w:r w:rsidRPr="003F5B3C">
              <w:rPr>
                <w:b w:val="0"/>
                <w:bCs w:val="0"/>
                <w:sz w:val="18"/>
                <w:szCs w:val="18"/>
              </w:rPr>
              <w:t>prin</w:t>
            </w:r>
            <w:proofErr w:type="spellEnd"/>
            <w:r w:rsidRPr="003F5B3C">
              <w:rPr>
                <w:b w:val="0"/>
                <w:bCs w:val="0"/>
                <w:sz w:val="18"/>
                <w:szCs w:val="18"/>
              </w:rPr>
              <w:t xml:space="preserve"> </w:t>
            </w:r>
            <w:proofErr w:type="spellStart"/>
            <w:r w:rsidRPr="003F5B3C">
              <w:rPr>
                <w:b w:val="0"/>
                <w:bCs w:val="0"/>
                <w:sz w:val="18"/>
                <w:szCs w:val="18"/>
              </w:rPr>
              <w:t>Regulamentul</w:t>
            </w:r>
            <w:proofErr w:type="spellEnd"/>
            <w:r w:rsidRPr="003F5B3C">
              <w:rPr>
                <w:b w:val="0"/>
                <w:bCs w:val="0"/>
                <w:sz w:val="18"/>
                <w:szCs w:val="18"/>
              </w:rPr>
              <w:t xml:space="preserve"> (UE) 2023/2869 al </w:t>
            </w:r>
            <w:proofErr w:type="spellStart"/>
            <w:r w:rsidRPr="003F5B3C">
              <w:rPr>
                <w:b w:val="0"/>
                <w:bCs w:val="0"/>
                <w:sz w:val="18"/>
                <w:szCs w:val="18"/>
              </w:rPr>
              <w:t>Parlamentului</w:t>
            </w:r>
            <w:proofErr w:type="spellEnd"/>
            <w:r w:rsidRPr="003F5B3C">
              <w:rPr>
                <w:b w:val="0"/>
                <w:bCs w:val="0"/>
                <w:sz w:val="18"/>
                <w:szCs w:val="18"/>
              </w:rPr>
              <w:t xml:space="preserve"> European </w:t>
            </w:r>
            <w:proofErr w:type="spellStart"/>
            <w:r w:rsidRPr="003F5B3C">
              <w:rPr>
                <w:b w:val="0"/>
                <w:bCs w:val="0"/>
                <w:sz w:val="18"/>
                <w:szCs w:val="18"/>
              </w:rPr>
              <w:t>și</w:t>
            </w:r>
            <w:proofErr w:type="spellEnd"/>
            <w:r w:rsidRPr="003F5B3C">
              <w:rPr>
                <w:b w:val="0"/>
                <w:bCs w:val="0"/>
                <w:sz w:val="18"/>
                <w:szCs w:val="18"/>
              </w:rPr>
              <w:t xml:space="preserve"> al </w:t>
            </w:r>
            <w:proofErr w:type="spellStart"/>
            <w:r w:rsidRPr="003F5B3C">
              <w:rPr>
                <w:b w:val="0"/>
                <w:bCs w:val="0"/>
                <w:sz w:val="18"/>
                <w:szCs w:val="18"/>
              </w:rPr>
              <w:t>Consiliului</w:t>
            </w:r>
            <w:proofErr w:type="spellEnd"/>
            <w:r w:rsidRPr="003F5B3C">
              <w:rPr>
                <w:b w:val="0"/>
                <w:bCs w:val="0"/>
                <w:sz w:val="18"/>
                <w:szCs w:val="18"/>
              </w:rPr>
              <w:t xml:space="preserve"> din 13 </w:t>
            </w:r>
            <w:proofErr w:type="spellStart"/>
            <w:r w:rsidRPr="003F5B3C">
              <w:rPr>
                <w:b w:val="0"/>
                <w:bCs w:val="0"/>
                <w:sz w:val="18"/>
                <w:szCs w:val="18"/>
              </w:rPr>
              <w:t>decembrie</w:t>
            </w:r>
            <w:proofErr w:type="spellEnd"/>
            <w:r w:rsidRPr="003F5B3C">
              <w:rPr>
                <w:b w:val="0"/>
                <w:bCs w:val="0"/>
                <w:sz w:val="18"/>
                <w:szCs w:val="18"/>
              </w:rPr>
              <w:t xml:space="preserve"> 2023</w:t>
            </w:r>
          </w:p>
        </w:tc>
      </w:tr>
      <w:tr w:rsidR="005C1753" w:rsidRPr="006D6A9C" w14:paraId="4C1AE693" w14:textId="77777777" w:rsidTr="00F53042">
        <w:tc>
          <w:tcPr>
            <w:tcW w:w="1036" w:type="dxa"/>
            <w:vMerge w:val="restart"/>
          </w:tcPr>
          <w:p w14:paraId="17604346" w14:textId="425F04A1" w:rsidR="005C1753" w:rsidRPr="003F5B3C" w:rsidRDefault="005736A5" w:rsidP="005736A5">
            <w:pPr>
              <w:pStyle w:val="ListParagraph"/>
              <w:tabs>
                <w:tab w:val="left" w:pos="736"/>
              </w:tabs>
              <w:jc w:val="center"/>
              <w:rPr>
                <w:b/>
                <w:bCs/>
                <w:sz w:val="18"/>
                <w:szCs w:val="18"/>
                <w:lang w:val="ro-MD"/>
              </w:rPr>
            </w:pPr>
            <w:r w:rsidRPr="003F5B3C">
              <w:rPr>
                <w:b/>
                <w:bCs/>
                <w:sz w:val="18"/>
                <w:szCs w:val="18"/>
                <w:lang w:val="ro-MD"/>
              </w:rPr>
              <w:t>2</w:t>
            </w:r>
          </w:p>
        </w:tc>
        <w:tc>
          <w:tcPr>
            <w:tcW w:w="13370" w:type="dxa"/>
          </w:tcPr>
          <w:p w14:paraId="0B90C67A" w14:textId="4CFAD522" w:rsidR="005C1753" w:rsidRPr="003F5B3C" w:rsidRDefault="005C1753" w:rsidP="00100467">
            <w:pPr>
              <w:pStyle w:val="ListParagraph"/>
              <w:tabs>
                <w:tab w:val="left" w:pos="284"/>
              </w:tabs>
              <w:ind w:left="0"/>
              <w:jc w:val="both"/>
              <w:rPr>
                <w:b/>
                <w:bCs/>
                <w:sz w:val="18"/>
                <w:szCs w:val="18"/>
                <w:lang w:val="ro-MD"/>
              </w:rPr>
            </w:pPr>
            <w:r w:rsidRPr="003F5B3C">
              <w:rPr>
                <w:b/>
                <w:bCs/>
                <w:sz w:val="18"/>
                <w:szCs w:val="18"/>
                <w:lang w:val="ro-MD"/>
              </w:rPr>
              <w:t xml:space="preserve">Titlul proiectului de act normativ </w:t>
            </w:r>
            <w:proofErr w:type="spellStart"/>
            <w:r w:rsidRPr="003F5B3C">
              <w:rPr>
                <w:b/>
                <w:bCs/>
                <w:sz w:val="18"/>
                <w:szCs w:val="18"/>
                <w:lang w:val="ro-MD"/>
              </w:rPr>
              <w:t>naţional</w:t>
            </w:r>
            <w:proofErr w:type="spellEnd"/>
          </w:p>
        </w:tc>
      </w:tr>
      <w:tr w:rsidR="005C1753" w:rsidRPr="006D6A9C" w14:paraId="38DA1561" w14:textId="77777777" w:rsidTr="00F53042">
        <w:tc>
          <w:tcPr>
            <w:tcW w:w="1036" w:type="dxa"/>
            <w:vMerge/>
          </w:tcPr>
          <w:p w14:paraId="4D90D7E6" w14:textId="77777777" w:rsidR="005C1753" w:rsidRPr="003F5B3C" w:rsidRDefault="005C1753" w:rsidP="005736A5">
            <w:pPr>
              <w:tabs>
                <w:tab w:val="left" w:pos="736"/>
              </w:tabs>
              <w:jc w:val="center"/>
              <w:rPr>
                <w:b/>
                <w:sz w:val="18"/>
                <w:szCs w:val="18"/>
                <w:u w:val="single"/>
                <w:lang w:val="ro-MD"/>
              </w:rPr>
            </w:pPr>
          </w:p>
        </w:tc>
        <w:tc>
          <w:tcPr>
            <w:tcW w:w="13370" w:type="dxa"/>
          </w:tcPr>
          <w:p w14:paraId="0EADB3DE" w14:textId="59640166" w:rsidR="005C1753" w:rsidRPr="003F5B3C" w:rsidRDefault="00100467" w:rsidP="00675F66">
            <w:pPr>
              <w:jc w:val="both"/>
              <w:rPr>
                <w:bCs/>
                <w:sz w:val="18"/>
                <w:szCs w:val="18"/>
                <w:lang w:val="ro-MD"/>
              </w:rPr>
            </w:pPr>
            <w:r w:rsidRPr="003F5B3C">
              <w:rPr>
                <w:bCs/>
                <w:sz w:val="18"/>
                <w:szCs w:val="18"/>
                <w:lang w:val="ro-MD"/>
              </w:rPr>
              <w:t>Proiectul Hotărârii Comitetului executiv al Băncii Naționale a Moldovei</w:t>
            </w:r>
            <w:r w:rsidR="00675F66">
              <w:rPr>
                <w:bCs/>
                <w:sz w:val="18"/>
                <w:szCs w:val="18"/>
                <w:lang w:val="ro-MD"/>
              </w:rPr>
              <w:t xml:space="preserve"> „P</w:t>
            </w:r>
            <w:proofErr w:type="spellStart"/>
            <w:r w:rsidR="00675F66" w:rsidRPr="00675F66">
              <w:rPr>
                <w:sz w:val="18"/>
                <w:szCs w:val="18"/>
                <w:lang w:val="ro-RO"/>
              </w:rPr>
              <w:t>entru</w:t>
            </w:r>
            <w:proofErr w:type="spellEnd"/>
            <w:r w:rsidR="00675F66" w:rsidRPr="00675F66">
              <w:rPr>
                <w:sz w:val="18"/>
                <w:szCs w:val="18"/>
                <w:lang w:val="ro-RO"/>
              </w:rPr>
              <w:t xml:space="preserve"> modificarea unor acte normative ale </w:t>
            </w:r>
            <w:r w:rsidR="00675F66" w:rsidRPr="00675F66">
              <w:rPr>
                <w:sz w:val="18"/>
                <w:szCs w:val="18"/>
                <w:lang w:val="ro-MD"/>
              </w:rPr>
              <w:t>Băncii Naționale a Moldovei</w:t>
            </w:r>
            <w:r w:rsidR="00675F66">
              <w:rPr>
                <w:sz w:val="18"/>
                <w:szCs w:val="18"/>
                <w:lang w:val="ro-MD"/>
              </w:rPr>
              <w:t>”</w:t>
            </w:r>
            <w:r w:rsidR="00675F66" w:rsidRPr="00675F66">
              <w:rPr>
                <w:sz w:val="18"/>
                <w:szCs w:val="18"/>
                <w:lang w:val="ro-MD"/>
              </w:rPr>
              <w:t xml:space="preserve"> </w:t>
            </w:r>
            <w:r w:rsidR="00675F66" w:rsidRPr="00675F66">
              <w:rPr>
                <w:sz w:val="18"/>
                <w:szCs w:val="18"/>
                <w:lang w:val="ro-RO"/>
              </w:rPr>
              <w:t xml:space="preserve">(modificarea Regulamentului cu privire la tratamentul riscului de decontare/livrare pentru bănci și </w:t>
            </w:r>
            <w:r w:rsidR="00675F66" w:rsidRPr="00675F66">
              <w:rPr>
                <w:sz w:val="18"/>
                <w:szCs w:val="18"/>
                <w:lang w:val="ro-MD"/>
              </w:rPr>
              <w:t xml:space="preserve">Regulamentului cu privire la calculul de către bănci al ajustărilor specifice </w:t>
            </w:r>
            <w:proofErr w:type="spellStart"/>
            <w:r w:rsidR="00675F66" w:rsidRPr="00675F66">
              <w:rPr>
                <w:sz w:val="18"/>
                <w:szCs w:val="18"/>
                <w:lang w:val="ro-MD"/>
              </w:rPr>
              <w:t>şi</w:t>
            </w:r>
            <w:proofErr w:type="spellEnd"/>
            <w:r w:rsidR="00675F66" w:rsidRPr="00675F66">
              <w:rPr>
                <w:sz w:val="18"/>
                <w:szCs w:val="18"/>
                <w:lang w:val="ro-MD"/>
              </w:rPr>
              <w:t xml:space="preserve"> al ajustărilor generale pentru riscul de credit)</w:t>
            </w:r>
          </w:p>
        </w:tc>
      </w:tr>
      <w:tr w:rsidR="005C1753" w:rsidRPr="006D6A9C" w14:paraId="52E95686" w14:textId="77777777" w:rsidTr="00F53042">
        <w:tc>
          <w:tcPr>
            <w:tcW w:w="1036" w:type="dxa"/>
          </w:tcPr>
          <w:p w14:paraId="42781153" w14:textId="33DBF68F" w:rsidR="005C1753" w:rsidRPr="003F5B3C" w:rsidRDefault="005736A5" w:rsidP="005736A5">
            <w:pPr>
              <w:pStyle w:val="ListParagraph"/>
              <w:tabs>
                <w:tab w:val="left" w:pos="736"/>
              </w:tabs>
              <w:jc w:val="center"/>
              <w:rPr>
                <w:b/>
                <w:bCs/>
                <w:sz w:val="18"/>
                <w:szCs w:val="18"/>
                <w:lang w:val="ro-MD"/>
              </w:rPr>
            </w:pPr>
            <w:r w:rsidRPr="003F5B3C">
              <w:rPr>
                <w:b/>
                <w:bCs/>
                <w:sz w:val="18"/>
                <w:szCs w:val="18"/>
                <w:lang w:val="ro-MD"/>
              </w:rPr>
              <w:t>3</w:t>
            </w:r>
          </w:p>
        </w:tc>
        <w:tc>
          <w:tcPr>
            <w:tcW w:w="13370" w:type="dxa"/>
          </w:tcPr>
          <w:p w14:paraId="2172F9E4" w14:textId="65A3DB21" w:rsidR="005C1753" w:rsidRPr="003F5B3C" w:rsidRDefault="005C1753" w:rsidP="00100467">
            <w:pPr>
              <w:jc w:val="both"/>
              <w:rPr>
                <w:sz w:val="18"/>
                <w:szCs w:val="18"/>
                <w:lang w:val="ro-MD"/>
              </w:rPr>
            </w:pPr>
            <w:r w:rsidRPr="003F5B3C">
              <w:rPr>
                <w:b/>
                <w:bCs/>
                <w:sz w:val="18"/>
                <w:szCs w:val="18"/>
                <w:lang w:val="ro-MD"/>
              </w:rPr>
              <w:t xml:space="preserve">Gradul general de compatibilitate </w:t>
            </w:r>
            <w:r w:rsidR="005736A5" w:rsidRPr="003F5B3C">
              <w:rPr>
                <w:b/>
                <w:bCs/>
                <w:sz w:val="18"/>
                <w:szCs w:val="18"/>
                <w:lang w:val="ro-MD"/>
              </w:rPr>
              <w:t>–</w:t>
            </w:r>
            <w:r w:rsidR="00675F66">
              <w:rPr>
                <w:b/>
                <w:bCs/>
                <w:sz w:val="18"/>
                <w:szCs w:val="18"/>
                <w:lang w:val="ro-MD"/>
              </w:rPr>
              <w:t xml:space="preserve"> </w:t>
            </w:r>
            <w:r w:rsidRPr="003F5B3C">
              <w:rPr>
                <w:rFonts w:eastAsia="MS Mincho"/>
                <w:sz w:val="18"/>
                <w:szCs w:val="18"/>
                <w:lang w:val="ro-MD"/>
              </w:rPr>
              <w:t>compatibil</w:t>
            </w:r>
          </w:p>
        </w:tc>
      </w:tr>
      <w:tr w:rsidR="005736A5" w:rsidRPr="006D6A9C" w14:paraId="2013D9CD" w14:textId="77777777" w:rsidTr="00F53042">
        <w:tc>
          <w:tcPr>
            <w:tcW w:w="1036" w:type="dxa"/>
          </w:tcPr>
          <w:p w14:paraId="085A466A" w14:textId="31787F35" w:rsidR="005736A5" w:rsidRPr="003F5B3C" w:rsidRDefault="005736A5" w:rsidP="005736A5">
            <w:pPr>
              <w:pStyle w:val="ListParagraph"/>
              <w:tabs>
                <w:tab w:val="left" w:pos="736"/>
              </w:tabs>
              <w:jc w:val="center"/>
              <w:rPr>
                <w:b/>
                <w:bCs/>
                <w:sz w:val="18"/>
                <w:szCs w:val="18"/>
                <w:lang w:val="ro-MD"/>
              </w:rPr>
            </w:pPr>
            <w:r w:rsidRPr="003F5B3C">
              <w:rPr>
                <w:b/>
                <w:bCs/>
                <w:sz w:val="18"/>
                <w:szCs w:val="18"/>
                <w:lang w:val="ro-MD"/>
              </w:rPr>
              <w:t>4</w:t>
            </w:r>
          </w:p>
        </w:tc>
        <w:tc>
          <w:tcPr>
            <w:tcW w:w="13370" w:type="dxa"/>
          </w:tcPr>
          <w:p w14:paraId="0A4BFC1F" w14:textId="3D4C9458" w:rsidR="005736A5" w:rsidRPr="003F5B3C" w:rsidRDefault="005736A5" w:rsidP="00100467">
            <w:pPr>
              <w:jc w:val="both"/>
              <w:rPr>
                <w:b/>
                <w:bCs/>
                <w:sz w:val="18"/>
                <w:szCs w:val="18"/>
                <w:lang w:val="ro-MD"/>
              </w:rPr>
            </w:pPr>
            <w:r w:rsidRPr="003F5B3C">
              <w:rPr>
                <w:b/>
                <w:bCs/>
                <w:sz w:val="18"/>
                <w:szCs w:val="18"/>
                <w:lang w:val="ro-MD"/>
              </w:rPr>
              <w:t xml:space="preserve">Autoritatea/persoana responsabilă </w:t>
            </w:r>
            <w:r w:rsidRPr="003F5B3C">
              <w:rPr>
                <w:sz w:val="18"/>
                <w:szCs w:val="18"/>
                <w:lang w:val="ro-MD"/>
              </w:rPr>
              <w:t>– Banca Națională a Moldovei</w:t>
            </w:r>
          </w:p>
        </w:tc>
      </w:tr>
      <w:tr w:rsidR="005736A5" w:rsidRPr="003F5B3C" w14:paraId="4B5F66BF" w14:textId="77777777" w:rsidTr="00F53042">
        <w:tc>
          <w:tcPr>
            <w:tcW w:w="1036" w:type="dxa"/>
          </w:tcPr>
          <w:p w14:paraId="419FF102" w14:textId="119E3441" w:rsidR="005736A5" w:rsidRPr="003F5B3C" w:rsidRDefault="005736A5" w:rsidP="005736A5">
            <w:pPr>
              <w:pStyle w:val="ListParagraph"/>
              <w:tabs>
                <w:tab w:val="left" w:pos="736"/>
              </w:tabs>
              <w:jc w:val="center"/>
              <w:rPr>
                <w:b/>
                <w:bCs/>
                <w:sz w:val="18"/>
                <w:szCs w:val="18"/>
                <w:lang w:val="ro-MD"/>
              </w:rPr>
            </w:pPr>
            <w:r w:rsidRPr="003F5B3C">
              <w:rPr>
                <w:b/>
                <w:bCs/>
                <w:sz w:val="18"/>
                <w:szCs w:val="18"/>
                <w:lang w:val="ro-MD"/>
              </w:rPr>
              <w:t>5</w:t>
            </w:r>
          </w:p>
        </w:tc>
        <w:tc>
          <w:tcPr>
            <w:tcW w:w="13370" w:type="dxa"/>
          </w:tcPr>
          <w:p w14:paraId="2FEDA854" w14:textId="79B68971" w:rsidR="005736A5" w:rsidRPr="003F5B3C" w:rsidRDefault="005736A5" w:rsidP="00100467">
            <w:pPr>
              <w:jc w:val="both"/>
              <w:rPr>
                <w:b/>
                <w:bCs/>
                <w:sz w:val="18"/>
                <w:szCs w:val="18"/>
                <w:lang w:val="ro-MD"/>
              </w:rPr>
            </w:pPr>
            <w:r w:rsidRPr="003F5B3C">
              <w:rPr>
                <w:b/>
                <w:bCs/>
                <w:sz w:val="18"/>
                <w:szCs w:val="18"/>
                <w:lang w:val="ro-MD"/>
              </w:rPr>
              <w:t xml:space="preserve">Data întocmirii/actualizării </w:t>
            </w:r>
            <w:r w:rsidRPr="003F5B3C">
              <w:rPr>
                <w:sz w:val="18"/>
                <w:szCs w:val="18"/>
                <w:lang w:val="ro-MD"/>
              </w:rPr>
              <w:t xml:space="preserve">– </w:t>
            </w:r>
            <w:r w:rsidR="000876C4">
              <w:rPr>
                <w:sz w:val="18"/>
                <w:szCs w:val="18"/>
                <w:lang w:val="ro-MD"/>
              </w:rPr>
              <w:t>0</w:t>
            </w:r>
            <w:r w:rsidR="00675F66">
              <w:rPr>
                <w:sz w:val="18"/>
                <w:szCs w:val="18"/>
                <w:lang w:val="ro-MD"/>
              </w:rPr>
              <w:t>7</w:t>
            </w:r>
            <w:r w:rsidRPr="003F5B3C">
              <w:rPr>
                <w:sz w:val="18"/>
                <w:szCs w:val="18"/>
                <w:lang w:val="ro-MD"/>
              </w:rPr>
              <w:t>.0</w:t>
            </w:r>
            <w:r w:rsidR="00675F66">
              <w:rPr>
                <w:sz w:val="18"/>
                <w:szCs w:val="18"/>
                <w:lang w:val="ro-MD"/>
              </w:rPr>
              <w:t>8</w:t>
            </w:r>
            <w:r w:rsidRPr="003F5B3C">
              <w:rPr>
                <w:sz w:val="18"/>
                <w:szCs w:val="18"/>
                <w:lang w:val="ro-MD"/>
              </w:rPr>
              <w:t>.202</w:t>
            </w:r>
            <w:r w:rsidR="00643F80" w:rsidRPr="003F5B3C">
              <w:rPr>
                <w:sz w:val="18"/>
                <w:szCs w:val="18"/>
                <w:lang w:val="ro-MD"/>
              </w:rPr>
              <w:t>5</w:t>
            </w:r>
          </w:p>
        </w:tc>
      </w:tr>
    </w:tbl>
    <w:p w14:paraId="0EBC9932" w14:textId="77777777" w:rsidR="005F3A73" w:rsidRPr="003F5B3C" w:rsidRDefault="005F3A73" w:rsidP="005F3A73">
      <w:pPr>
        <w:jc w:val="both"/>
        <w:rPr>
          <w:vanish/>
          <w:sz w:val="18"/>
          <w:szCs w:val="18"/>
          <w:lang w:val="ro-MD"/>
        </w:rPr>
      </w:pPr>
    </w:p>
    <w:p w14:paraId="744DD180" w14:textId="77777777" w:rsidR="005F3A73" w:rsidRPr="003F5B3C" w:rsidRDefault="005F3A73" w:rsidP="005F3A73">
      <w:pPr>
        <w:jc w:val="both"/>
        <w:rPr>
          <w:vanish/>
          <w:sz w:val="18"/>
          <w:szCs w:val="18"/>
          <w:lang w:val="ro-MD"/>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3685"/>
        <w:gridCol w:w="1229"/>
        <w:gridCol w:w="5292"/>
      </w:tblGrid>
      <w:tr w:rsidR="001A4DE8" w:rsidRPr="003F5B3C" w14:paraId="0194AA20" w14:textId="77777777" w:rsidTr="003F5B3C">
        <w:trPr>
          <w:trHeight w:val="723"/>
          <w:tblHeader/>
        </w:trPr>
        <w:tc>
          <w:tcPr>
            <w:tcW w:w="4253" w:type="dxa"/>
          </w:tcPr>
          <w:p w14:paraId="264A8A14" w14:textId="66DB991C" w:rsidR="001A4DE8" w:rsidRPr="003F5B3C" w:rsidRDefault="001A4DE8" w:rsidP="005F3A73">
            <w:pPr>
              <w:jc w:val="both"/>
              <w:rPr>
                <w:b/>
                <w:bCs/>
                <w:sz w:val="18"/>
                <w:szCs w:val="18"/>
                <w:lang w:val="ro-MD"/>
              </w:rPr>
            </w:pPr>
            <w:r w:rsidRPr="003F5B3C">
              <w:rPr>
                <w:b/>
                <w:bCs/>
                <w:sz w:val="18"/>
                <w:szCs w:val="18"/>
                <w:lang w:val="ro-MD"/>
              </w:rPr>
              <w:t>Actul Uniunii Europene</w:t>
            </w:r>
          </w:p>
        </w:tc>
        <w:tc>
          <w:tcPr>
            <w:tcW w:w="3685" w:type="dxa"/>
          </w:tcPr>
          <w:p w14:paraId="35F32FCF" w14:textId="3FA3AFDC" w:rsidR="001A4DE8" w:rsidRPr="003F5B3C" w:rsidRDefault="001A4DE8" w:rsidP="005F3A73">
            <w:pPr>
              <w:jc w:val="both"/>
              <w:rPr>
                <w:bCs/>
                <w:sz w:val="18"/>
                <w:szCs w:val="18"/>
                <w:lang w:val="ro-MD"/>
              </w:rPr>
            </w:pPr>
            <w:r w:rsidRPr="003F5B3C">
              <w:rPr>
                <w:b/>
                <w:bCs/>
                <w:sz w:val="18"/>
                <w:szCs w:val="18"/>
                <w:lang w:val="ro-MD"/>
              </w:rPr>
              <w:t xml:space="preserve">Proiectul de act normativ </w:t>
            </w:r>
            <w:proofErr w:type="spellStart"/>
            <w:r w:rsidRPr="003F5B3C">
              <w:rPr>
                <w:b/>
                <w:bCs/>
                <w:sz w:val="18"/>
                <w:szCs w:val="18"/>
                <w:lang w:val="ro-MD"/>
              </w:rPr>
              <w:t>naţional</w:t>
            </w:r>
            <w:proofErr w:type="spellEnd"/>
          </w:p>
        </w:tc>
        <w:tc>
          <w:tcPr>
            <w:tcW w:w="1229" w:type="dxa"/>
          </w:tcPr>
          <w:p w14:paraId="4D7DEA05" w14:textId="628B8B29" w:rsidR="001A4DE8" w:rsidRPr="003F5B3C" w:rsidRDefault="001A4DE8" w:rsidP="003F5B3C">
            <w:pPr>
              <w:ind w:left="-84" w:right="-112"/>
              <w:rPr>
                <w:b/>
                <w:bCs/>
                <w:sz w:val="18"/>
                <w:szCs w:val="18"/>
                <w:lang w:val="ro-MD"/>
              </w:rPr>
            </w:pPr>
            <w:r w:rsidRPr="003F5B3C">
              <w:rPr>
                <w:b/>
                <w:bCs/>
                <w:sz w:val="18"/>
                <w:szCs w:val="18"/>
                <w:lang w:val="ro-MD"/>
              </w:rPr>
              <w:t>Gradul de compatibilitate</w:t>
            </w:r>
          </w:p>
        </w:tc>
        <w:tc>
          <w:tcPr>
            <w:tcW w:w="5292" w:type="dxa"/>
          </w:tcPr>
          <w:p w14:paraId="5970B66C" w14:textId="5D20B4B2" w:rsidR="001A4DE8" w:rsidRPr="003F5B3C" w:rsidRDefault="001A4DE8" w:rsidP="005F3A73">
            <w:pPr>
              <w:jc w:val="both"/>
              <w:rPr>
                <w:b/>
                <w:bCs/>
                <w:sz w:val="18"/>
                <w:szCs w:val="18"/>
                <w:lang w:val="ro-MD"/>
              </w:rPr>
            </w:pPr>
            <w:proofErr w:type="spellStart"/>
            <w:r w:rsidRPr="003F5B3C">
              <w:rPr>
                <w:b/>
                <w:bCs/>
                <w:sz w:val="18"/>
                <w:szCs w:val="18"/>
                <w:lang w:val="ro-MD"/>
              </w:rPr>
              <w:t>Observaţiile</w:t>
            </w:r>
            <w:proofErr w:type="spellEnd"/>
          </w:p>
        </w:tc>
      </w:tr>
      <w:tr w:rsidR="001A4DE8" w:rsidRPr="003F5B3C" w14:paraId="51A90453" w14:textId="77777777" w:rsidTr="003F5B3C">
        <w:trPr>
          <w:tblHeader/>
        </w:trPr>
        <w:tc>
          <w:tcPr>
            <w:tcW w:w="4253" w:type="dxa"/>
          </w:tcPr>
          <w:p w14:paraId="5DE61B1A" w14:textId="4655981F" w:rsidR="001A4DE8" w:rsidRPr="003F5B3C" w:rsidRDefault="001A4DE8" w:rsidP="005F3A73">
            <w:pPr>
              <w:pStyle w:val="BodyTextIndent"/>
              <w:spacing w:before="0"/>
              <w:ind w:firstLine="0"/>
              <w:rPr>
                <w:rFonts w:eastAsia="MS Mincho"/>
                <w:b/>
                <w:sz w:val="18"/>
                <w:szCs w:val="18"/>
                <w:lang w:val="ro-MD"/>
              </w:rPr>
            </w:pPr>
            <w:r w:rsidRPr="003F5B3C">
              <w:rPr>
                <w:rFonts w:eastAsia="MS Mincho"/>
                <w:b/>
                <w:sz w:val="18"/>
                <w:szCs w:val="18"/>
                <w:lang w:val="ro-MD"/>
              </w:rPr>
              <w:t>6</w:t>
            </w:r>
          </w:p>
        </w:tc>
        <w:tc>
          <w:tcPr>
            <w:tcW w:w="3685" w:type="dxa"/>
          </w:tcPr>
          <w:p w14:paraId="2DA2B260" w14:textId="6E83FECC" w:rsidR="001A4DE8" w:rsidRPr="003F5B3C" w:rsidRDefault="001A4DE8" w:rsidP="005F3A73">
            <w:pPr>
              <w:pStyle w:val="PlainText"/>
              <w:jc w:val="both"/>
              <w:rPr>
                <w:rFonts w:ascii="Times New Roman" w:eastAsia="MS Mincho" w:hAnsi="Times New Roman" w:cs="Times New Roman"/>
                <w:b/>
                <w:sz w:val="18"/>
                <w:szCs w:val="18"/>
                <w:lang w:val="ro-MD"/>
              </w:rPr>
            </w:pPr>
            <w:r w:rsidRPr="003F5B3C">
              <w:rPr>
                <w:rFonts w:ascii="Times New Roman" w:eastAsia="MS Mincho" w:hAnsi="Times New Roman" w:cs="Times New Roman"/>
                <w:b/>
                <w:sz w:val="18"/>
                <w:szCs w:val="18"/>
                <w:lang w:val="ro-MD"/>
              </w:rPr>
              <w:t>7</w:t>
            </w:r>
          </w:p>
        </w:tc>
        <w:tc>
          <w:tcPr>
            <w:tcW w:w="1229" w:type="dxa"/>
          </w:tcPr>
          <w:p w14:paraId="55A1C645" w14:textId="2ABE9273" w:rsidR="001A4DE8" w:rsidRPr="003F5B3C" w:rsidRDefault="001A4DE8" w:rsidP="005F3A73">
            <w:pPr>
              <w:jc w:val="both"/>
              <w:rPr>
                <w:b/>
                <w:sz w:val="18"/>
                <w:szCs w:val="18"/>
                <w:lang w:val="ro-MD"/>
              </w:rPr>
            </w:pPr>
            <w:r w:rsidRPr="003F5B3C">
              <w:rPr>
                <w:b/>
                <w:sz w:val="18"/>
                <w:szCs w:val="18"/>
                <w:lang w:val="ro-MD"/>
              </w:rPr>
              <w:t>8</w:t>
            </w:r>
          </w:p>
        </w:tc>
        <w:tc>
          <w:tcPr>
            <w:tcW w:w="5292" w:type="dxa"/>
            <w:tcBorders>
              <w:bottom w:val="single" w:sz="4" w:space="0" w:color="auto"/>
            </w:tcBorders>
          </w:tcPr>
          <w:p w14:paraId="49B7B2E6" w14:textId="1AAC2CCF" w:rsidR="001A4DE8" w:rsidRPr="003F5B3C" w:rsidRDefault="001A4DE8" w:rsidP="005F3A73">
            <w:pPr>
              <w:jc w:val="both"/>
              <w:rPr>
                <w:b/>
                <w:sz w:val="18"/>
                <w:szCs w:val="18"/>
                <w:lang w:val="ro-MD"/>
              </w:rPr>
            </w:pPr>
            <w:r w:rsidRPr="003F5B3C">
              <w:rPr>
                <w:b/>
                <w:sz w:val="18"/>
                <w:szCs w:val="18"/>
                <w:lang w:val="ro-MD"/>
              </w:rPr>
              <w:t>9</w:t>
            </w:r>
          </w:p>
        </w:tc>
      </w:tr>
      <w:tr w:rsidR="001A4DE8" w:rsidRPr="006D6A9C" w14:paraId="47CE0C8A" w14:textId="77777777" w:rsidTr="003F5B3C">
        <w:tc>
          <w:tcPr>
            <w:tcW w:w="4253" w:type="dxa"/>
            <w:vAlign w:val="center"/>
          </w:tcPr>
          <w:p w14:paraId="17113D3D" w14:textId="18773F39" w:rsidR="001A4DE8" w:rsidRPr="003F5B3C" w:rsidRDefault="001A4DE8" w:rsidP="00643F80">
            <w:pPr>
              <w:rPr>
                <w:b/>
                <w:sz w:val="18"/>
                <w:szCs w:val="18"/>
                <w:lang w:val="ro-MD"/>
              </w:rPr>
            </w:pPr>
            <w:proofErr w:type="spellStart"/>
            <w:r w:rsidRPr="003F5B3C">
              <w:rPr>
                <w:b/>
                <w:bCs/>
                <w:sz w:val="18"/>
                <w:szCs w:val="18"/>
                <w:lang w:val="en-US"/>
              </w:rPr>
              <w:t>Regulamentul</w:t>
            </w:r>
            <w:proofErr w:type="spellEnd"/>
            <w:r w:rsidRPr="003F5B3C">
              <w:rPr>
                <w:b/>
                <w:bCs/>
                <w:sz w:val="18"/>
                <w:szCs w:val="18"/>
                <w:lang w:val="en-US"/>
              </w:rPr>
              <w:t xml:space="preserve"> nr. 575/2013 al </w:t>
            </w:r>
            <w:proofErr w:type="spellStart"/>
            <w:r w:rsidRPr="003F5B3C">
              <w:rPr>
                <w:b/>
                <w:bCs/>
                <w:sz w:val="18"/>
                <w:szCs w:val="18"/>
                <w:lang w:val="en-US"/>
              </w:rPr>
              <w:t>Parlamentului</w:t>
            </w:r>
            <w:proofErr w:type="spellEnd"/>
            <w:r w:rsidRPr="003F5B3C">
              <w:rPr>
                <w:b/>
                <w:bCs/>
                <w:sz w:val="18"/>
                <w:szCs w:val="18"/>
                <w:lang w:val="en-US"/>
              </w:rPr>
              <w:t xml:space="preserve"> European </w:t>
            </w:r>
            <w:proofErr w:type="spellStart"/>
            <w:r w:rsidRPr="003F5B3C">
              <w:rPr>
                <w:b/>
                <w:bCs/>
                <w:sz w:val="18"/>
                <w:szCs w:val="18"/>
                <w:lang w:val="en-US"/>
              </w:rPr>
              <w:t>și</w:t>
            </w:r>
            <w:proofErr w:type="spellEnd"/>
            <w:r w:rsidRPr="003F5B3C">
              <w:rPr>
                <w:b/>
                <w:bCs/>
                <w:sz w:val="18"/>
                <w:szCs w:val="18"/>
                <w:lang w:val="en-US"/>
              </w:rPr>
              <w:t xml:space="preserve"> al </w:t>
            </w:r>
            <w:proofErr w:type="spellStart"/>
            <w:r w:rsidRPr="003F5B3C">
              <w:rPr>
                <w:b/>
                <w:bCs/>
                <w:sz w:val="18"/>
                <w:szCs w:val="18"/>
                <w:lang w:val="en-US"/>
              </w:rPr>
              <w:t>Consiliului</w:t>
            </w:r>
            <w:proofErr w:type="spellEnd"/>
            <w:r w:rsidRPr="003F5B3C">
              <w:rPr>
                <w:b/>
                <w:bCs/>
                <w:sz w:val="18"/>
                <w:szCs w:val="18"/>
                <w:lang w:val="en-US"/>
              </w:rPr>
              <w:t xml:space="preserve"> din 26 </w:t>
            </w:r>
            <w:proofErr w:type="spellStart"/>
            <w:r w:rsidRPr="003F5B3C">
              <w:rPr>
                <w:b/>
                <w:bCs/>
                <w:sz w:val="18"/>
                <w:szCs w:val="18"/>
                <w:lang w:val="en-US"/>
              </w:rPr>
              <w:t>iunie</w:t>
            </w:r>
            <w:proofErr w:type="spellEnd"/>
            <w:r w:rsidRPr="003F5B3C">
              <w:rPr>
                <w:b/>
                <w:bCs/>
                <w:sz w:val="18"/>
                <w:szCs w:val="18"/>
                <w:lang w:val="en-US"/>
              </w:rPr>
              <w:t xml:space="preserve"> 2013 </w:t>
            </w:r>
            <w:proofErr w:type="spellStart"/>
            <w:r w:rsidRPr="003F5B3C">
              <w:rPr>
                <w:b/>
                <w:bCs/>
                <w:sz w:val="18"/>
                <w:szCs w:val="18"/>
                <w:lang w:val="en-US"/>
              </w:rPr>
              <w:t>privind</w:t>
            </w:r>
            <w:proofErr w:type="spellEnd"/>
            <w:r w:rsidRPr="003F5B3C">
              <w:rPr>
                <w:b/>
                <w:bCs/>
                <w:sz w:val="18"/>
                <w:szCs w:val="18"/>
                <w:lang w:val="en-US"/>
              </w:rPr>
              <w:t xml:space="preserve"> </w:t>
            </w:r>
            <w:proofErr w:type="spellStart"/>
            <w:r w:rsidRPr="003F5B3C">
              <w:rPr>
                <w:b/>
                <w:bCs/>
                <w:sz w:val="18"/>
                <w:szCs w:val="18"/>
                <w:lang w:val="en-US"/>
              </w:rPr>
              <w:t>cerințele</w:t>
            </w:r>
            <w:proofErr w:type="spellEnd"/>
            <w:r w:rsidRPr="003F5B3C">
              <w:rPr>
                <w:b/>
                <w:bCs/>
                <w:sz w:val="18"/>
                <w:szCs w:val="18"/>
                <w:lang w:val="en-US"/>
              </w:rPr>
              <w:t xml:space="preserve"> </w:t>
            </w:r>
            <w:proofErr w:type="spellStart"/>
            <w:r w:rsidRPr="003F5B3C">
              <w:rPr>
                <w:b/>
                <w:bCs/>
                <w:sz w:val="18"/>
                <w:szCs w:val="18"/>
                <w:lang w:val="en-US"/>
              </w:rPr>
              <w:t>prudențiale</w:t>
            </w:r>
            <w:proofErr w:type="spellEnd"/>
            <w:r w:rsidRPr="003F5B3C">
              <w:rPr>
                <w:b/>
                <w:bCs/>
                <w:sz w:val="18"/>
                <w:szCs w:val="18"/>
                <w:lang w:val="en-US"/>
              </w:rPr>
              <w:t xml:space="preserve"> </w:t>
            </w:r>
            <w:proofErr w:type="spellStart"/>
            <w:r w:rsidRPr="003F5B3C">
              <w:rPr>
                <w:b/>
                <w:bCs/>
                <w:sz w:val="18"/>
                <w:szCs w:val="18"/>
                <w:lang w:val="en-US"/>
              </w:rPr>
              <w:t>pentru</w:t>
            </w:r>
            <w:proofErr w:type="spellEnd"/>
            <w:r w:rsidRPr="003F5B3C">
              <w:rPr>
                <w:b/>
                <w:bCs/>
                <w:sz w:val="18"/>
                <w:szCs w:val="18"/>
                <w:lang w:val="en-US"/>
              </w:rPr>
              <w:t xml:space="preserve"> </w:t>
            </w:r>
            <w:proofErr w:type="spellStart"/>
            <w:r w:rsidRPr="003F5B3C">
              <w:rPr>
                <w:b/>
                <w:bCs/>
                <w:sz w:val="18"/>
                <w:szCs w:val="18"/>
                <w:lang w:val="en-US"/>
              </w:rPr>
              <w:t>instituțiile</w:t>
            </w:r>
            <w:proofErr w:type="spellEnd"/>
            <w:r w:rsidRPr="003F5B3C">
              <w:rPr>
                <w:b/>
                <w:bCs/>
                <w:sz w:val="18"/>
                <w:szCs w:val="18"/>
                <w:lang w:val="en-US"/>
              </w:rPr>
              <w:t xml:space="preserve"> de credit </w:t>
            </w:r>
            <w:proofErr w:type="spellStart"/>
            <w:r w:rsidRPr="003F5B3C">
              <w:rPr>
                <w:b/>
                <w:bCs/>
                <w:sz w:val="18"/>
                <w:szCs w:val="18"/>
                <w:lang w:val="en-US"/>
              </w:rPr>
              <w:t>și</w:t>
            </w:r>
            <w:proofErr w:type="spellEnd"/>
            <w:r w:rsidRPr="003F5B3C">
              <w:rPr>
                <w:b/>
                <w:bCs/>
                <w:sz w:val="18"/>
                <w:szCs w:val="18"/>
                <w:lang w:val="en-US"/>
              </w:rPr>
              <w:t xml:space="preserve"> de </w:t>
            </w:r>
            <w:proofErr w:type="spellStart"/>
            <w:r w:rsidRPr="003F5B3C">
              <w:rPr>
                <w:b/>
                <w:bCs/>
                <w:sz w:val="18"/>
                <w:szCs w:val="18"/>
                <w:lang w:val="en-US"/>
              </w:rPr>
              <w:t>modificare</w:t>
            </w:r>
            <w:proofErr w:type="spellEnd"/>
            <w:r w:rsidRPr="003F5B3C">
              <w:rPr>
                <w:b/>
                <w:bCs/>
                <w:sz w:val="18"/>
                <w:szCs w:val="18"/>
                <w:lang w:val="en-US"/>
              </w:rPr>
              <w:t xml:space="preserve"> a </w:t>
            </w:r>
            <w:proofErr w:type="spellStart"/>
            <w:r w:rsidRPr="003F5B3C">
              <w:rPr>
                <w:b/>
                <w:bCs/>
                <w:sz w:val="18"/>
                <w:szCs w:val="18"/>
                <w:lang w:val="en-US"/>
              </w:rPr>
              <w:t>Regulamentului</w:t>
            </w:r>
            <w:proofErr w:type="spellEnd"/>
            <w:r w:rsidRPr="003F5B3C">
              <w:rPr>
                <w:b/>
                <w:bCs/>
                <w:sz w:val="18"/>
                <w:szCs w:val="18"/>
                <w:lang w:val="en-US"/>
              </w:rPr>
              <w:t xml:space="preserve"> (UE) nr. 648/2012, </w:t>
            </w:r>
            <w:proofErr w:type="spellStart"/>
            <w:r w:rsidRPr="003F5B3C">
              <w:rPr>
                <w:b/>
                <w:bCs/>
                <w:sz w:val="18"/>
                <w:szCs w:val="18"/>
                <w:lang w:val="en-US"/>
              </w:rPr>
              <w:t>publicat</w:t>
            </w:r>
            <w:proofErr w:type="spellEnd"/>
            <w:r w:rsidRPr="003F5B3C">
              <w:rPr>
                <w:b/>
                <w:bCs/>
                <w:sz w:val="18"/>
                <w:szCs w:val="18"/>
                <w:lang w:val="en-US"/>
              </w:rPr>
              <w:t xml:space="preserve"> </w:t>
            </w:r>
            <w:proofErr w:type="spellStart"/>
            <w:r w:rsidRPr="003F5B3C">
              <w:rPr>
                <w:b/>
                <w:bCs/>
                <w:sz w:val="18"/>
                <w:szCs w:val="18"/>
                <w:lang w:val="en-US"/>
              </w:rPr>
              <w:t>în</w:t>
            </w:r>
            <w:proofErr w:type="spellEnd"/>
            <w:r w:rsidRPr="003F5B3C">
              <w:rPr>
                <w:b/>
                <w:bCs/>
                <w:sz w:val="18"/>
                <w:szCs w:val="18"/>
                <w:lang w:val="en-US"/>
              </w:rPr>
              <w:t xml:space="preserve"> Jurnalul </w:t>
            </w:r>
            <w:proofErr w:type="spellStart"/>
            <w:r w:rsidRPr="003F5B3C">
              <w:rPr>
                <w:b/>
                <w:bCs/>
                <w:sz w:val="18"/>
                <w:szCs w:val="18"/>
                <w:lang w:val="en-US"/>
              </w:rPr>
              <w:t>Oficial</w:t>
            </w:r>
            <w:proofErr w:type="spellEnd"/>
            <w:r w:rsidRPr="003F5B3C">
              <w:rPr>
                <w:b/>
                <w:bCs/>
                <w:sz w:val="18"/>
                <w:szCs w:val="18"/>
                <w:lang w:val="en-US"/>
              </w:rPr>
              <w:t xml:space="preserve"> al </w:t>
            </w:r>
            <w:proofErr w:type="spellStart"/>
            <w:r w:rsidRPr="003F5B3C">
              <w:rPr>
                <w:b/>
                <w:bCs/>
                <w:sz w:val="18"/>
                <w:szCs w:val="18"/>
                <w:lang w:val="en-US"/>
              </w:rPr>
              <w:t>Uniuni</w:t>
            </w:r>
            <w:proofErr w:type="spellEnd"/>
            <w:r w:rsidRPr="003F5B3C">
              <w:rPr>
                <w:b/>
                <w:bCs/>
                <w:sz w:val="18"/>
                <w:szCs w:val="18"/>
                <w:lang w:val="en-US"/>
              </w:rPr>
              <w:t xml:space="preserve"> </w:t>
            </w:r>
            <w:proofErr w:type="spellStart"/>
            <w:r w:rsidRPr="003F5B3C">
              <w:rPr>
                <w:b/>
                <w:bCs/>
                <w:sz w:val="18"/>
                <w:szCs w:val="18"/>
                <w:lang w:val="en-US"/>
              </w:rPr>
              <w:t>Europene</w:t>
            </w:r>
            <w:proofErr w:type="spellEnd"/>
            <w:r w:rsidRPr="003F5B3C">
              <w:rPr>
                <w:b/>
                <w:bCs/>
                <w:sz w:val="18"/>
                <w:szCs w:val="18"/>
                <w:lang w:val="en-US"/>
              </w:rPr>
              <w:t xml:space="preserve"> L 176 din 27 </w:t>
            </w:r>
            <w:proofErr w:type="spellStart"/>
            <w:r w:rsidRPr="003F5B3C">
              <w:rPr>
                <w:b/>
                <w:bCs/>
                <w:sz w:val="18"/>
                <w:szCs w:val="18"/>
                <w:lang w:val="en-US"/>
              </w:rPr>
              <w:t>iunie</w:t>
            </w:r>
            <w:proofErr w:type="spellEnd"/>
            <w:r w:rsidRPr="003F5B3C">
              <w:rPr>
                <w:b/>
                <w:bCs/>
                <w:sz w:val="18"/>
                <w:szCs w:val="18"/>
                <w:lang w:val="en-US"/>
              </w:rPr>
              <w:t xml:space="preserve"> 2013, CELEX: 32013R0575, </w:t>
            </w:r>
            <w:proofErr w:type="spellStart"/>
            <w:r w:rsidRPr="003F5B3C">
              <w:rPr>
                <w:b/>
                <w:bCs/>
                <w:sz w:val="18"/>
                <w:szCs w:val="18"/>
                <w:lang w:val="en-US"/>
              </w:rPr>
              <w:t>așa</w:t>
            </w:r>
            <w:proofErr w:type="spellEnd"/>
            <w:r w:rsidRPr="003F5B3C">
              <w:rPr>
                <w:b/>
                <w:bCs/>
                <w:sz w:val="18"/>
                <w:szCs w:val="18"/>
                <w:lang w:val="en-US"/>
              </w:rPr>
              <w:t xml:space="preserve"> cum a </w:t>
            </w:r>
            <w:proofErr w:type="spellStart"/>
            <w:r w:rsidRPr="003F5B3C">
              <w:rPr>
                <w:b/>
                <w:bCs/>
                <w:sz w:val="18"/>
                <w:szCs w:val="18"/>
                <w:lang w:val="en-US"/>
              </w:rPr>
              <w:t>fost</w:t>
            </w:r>
            <w:proofErr w:type="spellEnd"/>
            <w:r w:rsidRPr="003F5B3C">
              <w:rPr>
                <w:b/>
                <w:bCs/>
                <w:sz w:val="18"/>
                <w:szCs w:val="18"/>
                <w:lang w:val="en-US"/>
              </w:rPr>
              <w:t xml:space="preserve"> </w:t>
            </w:r>
            <w:proofErr w:type="spellStart"/>
            <w:r w:rsidRPr="003F5B3C">
              <w:rPr>
                <w:b/>
                <w:bCs/>
                <w:sz w:val="18"/>
                <w:szCs w:val="18"/>
                <w:lang w:val="en-US"/>
              </w:rPr>
              <w:t>modificat</w:t>
            </w:r>
            <w:proofErr w:type="spellEnd"/>
            <w:r w:rsidRPr="003F5B3C">
              <w:rPr>
                <w:b/>
                <w:bCs/>
                <w:sz w:val="18"/>
                <w:szCs w:val="18"/>
                <w:lang w:val="en-US"/>
              </w:rPr>
              <w:t xml:space="preserve"> ultima </w:t>
            </w:r>
            <w:proofErr w:type="spellStart"/>
            <w:r w:rsidRPr="003F5B3C">
              <w:rPr>
                <w:b/>
                <w:bCs/>
                <w:sz w:val="18"/>
                <w:szCs w:val="18"/>
                <w:lang w:val="en-US"/>
              </w:rPr>
              <w:t>dată</w:t>
            </w:r>
            <w:proofErr w:type="spellEnd"/>
            <w:r w:rsidRPr="003F5B3C">
              <w:rPr>
                <w:b/>
                <w:bCs/>
                <w:sz w:val="18"/>
                <w:szCs w:val="18"/>
                <w:lang w:val="en-US"/>
              </w:rPr>
              <w:t xml:space="preserve"> </w:t>
            </w:r>
            <w:proofErr w:type="spellStart"/>
            <w:r w:rsidRPr="003F5B3C">
              <w:rPr>
                <w:b/>
                <w:bCs/>
                <w:sz w:val="18"/>
                <w:szCs w:val="18"/>
                <w:lang w:val="en-US"/>
              </w:rPr>
              <w:t>prin</w:t>
            </w:r>
            <w:proofErr w:type="spellEnd"/>
            <w:r w:rsidRPr="003F5B3C">
              <w:rPr>
                <w:b/>
                <w:bCs/>
                <w:sz w:val="18"/>
                <w:szCs w:val="18"/>
                <w:lang w:val="en-US"/>
              </w:rPr>
              <w:t xml:space="preserve"> </w:t>
            </w:r>
            <w:proofErr w:type="spellStart"/>
            <w:r w:rsidRPr="003F5B3C">
              <w:rPr>
                <w:b/>
                <w:bCs/>
                <w:sz w:val="18"/>
                <w:szCs w:val="18"/>
                <w:lang w:val="en-US"/>
              </w:rPr>
              <w:t>Regulamentul</w:t>
            </w:r>
            <w:proofErr w:type="spellEnd"/>
            <w:r w:rsidRPr="003F5B3C">
              <w:rPr>
                <w:b/>
                <w:bCs/>
                <w:sz w:val="18"/>
                <w:szCs w:val="18"/>
                <w:lang w:val="en-US"/>
              </w:rPr>
              <w:t xml:space="preserve"> (UE) 2023/2869 al </w:t>
            </w:r>
            <w:proofErr w:type="spellStart"/>
            <w:r w:rsidRPr="003F5B3C">
              <w:rPr>
                <w:b/>
                <w:bCs/>
                <w:sz w:val="18"/>
                <w:szCs w:val="18"/>
                <w:lang w:val="en-US"/>
              </w:rPr>
              <w:t>Parlamentului</w:t>
            </w:r>
            <w:proofErr w:type="spellEnd"/>
            <w:r w:rsidRPr="003F5B3C">
              <w:rPr>
                <w:b/>
                <w:bCs/>
                <w:sz w:val="18"/>
                <w:szCs w:val="18"/>
                <w:lang w:val="en-US"/>
              </w:rPr>
              <w:t xml:space="preserve"> European </w:t>
            </w:r>
            <w:proofErr w:type="spellStart"/>
            <w:r w:rsidRPr="003F5B3C">
              <w:rPr>
                <w:b/>
                <w:bCs/>
                <w:sz w:val="18"/>
                <w:szCs w:val="18"/>
                <w:lang w:val="en-US"/>
              </w:rPr>
              <w:t>și</w:t>
            </w:r>
            <w:proofErr w:type="spellEnd"/>
            <w:r w:rsidRPr="003F5B3C">
              <w:rPr>
                <w:b/>
                <w:bCs/>
                <w:sz w:val="18"/>
                <w:szCs w:val="18"/>
                <w:lang w:val="en-US"/>
              </w:rPr>
              <w:t xml:space="preserve"> al </w:t>
            </w:r>
            <w:proofErr w:type="spellStart"/>
            <w:r w:rsidRPr="003F5B3C">
              <w:rPr>
                <w:b/>
                <w:bCs/>
                <w:sz w:val="18"/>
                <w:szCs w:val="18"/>
                <w:lang w:val="en-US"/>
              </w:rPr>
              <w:t>Consiliului</w:t>
            </w:r>
            <w:proofErr w:type="spellEnd"/>
            <w:r w:rsidRPr="003F5B3C">
              <w:rPr>
                <w:b/>
                <w:bCs/>
                <w:sz w:val="18"/>
                <w:szCs w:val="18"/>
                <w:lang w:val="en-US"/>
              </w:rPr>
              <w:t xml:space="preserve"> din 13 </w:t>
            </w:r>
            <w:proofErr w:type="spellStart"/>
            <w:r w:rsidRPr="003F5B3C">
              <w:rPr>
                <w:b/>
                <w:bCs/>
                <w:sz w:val="18"/>
                <w:szCs w:val="18"/>
                <w:lang w:val="en-US"/>
              </w:rPr>
              <w:t>decembrie</w:t>
            </w:r>
            <w:proofErr w:type="spellEnd"/>
            <w:r w:rsidRPr="003F5B3C">
              <w:rPr>
                <w:b/>
                <w:bCs/>
                <w:sz w:val="18"/>
                <w:szCs w:val="18"/>
                <w:lang w:val="en-US"/>
              </w:rPr>
              <w:t xml:space="preserve"> 2023</w:t>
            </w:r>
          </w:p>
        </w:tc>
        <w:tc>
          <w:tcPr>
            <w:tcW w:w="3685" w:type="dxa"/>
            <w:shd w:val="clear" w:color="auto" w:fill="auto"/>
          </w:tcPr>
          <w:p w14:paraId="2A80CA2E" w14:textId="476D8CB0" w:rsidR="001A4DE8" w:rsidRPr="003F5B3C" w:rsidRDefault="001A4DE8" w:rsidP="00643F80">
            <w:pPr>
              <w:rPr>
                <w:b/>
                <w:bCs/>
                <w:sz w:val="18"/>
                <w:szCs w:val="18"/>
                <w:lang w:val="ro-MD"/>
              </w:rPr>
            </w:pPr>
            <w:r w:rsidRPr="003F5B3C">
              <w:rPr>
                <w:b/>
                <w:bCs/>
                <w:sz w:val="18"/>
                <w:szCs w:val="18"/>
                <w:lang w:val="ro-MD"/>
              </w:rPr>
              <w:t xml:space="preserve">Proiectul Hotărârii Comitetului executiv al Băncii Naționale a Moldovei </w:t>
            </w:r>
            <w:r w:rsidR="00675F66" w:rsidRPr="00675F66">
              <w:rPr>
                <w:b/>
                <w:sz w:val="18"/>
                <w:szCs w:val="18"/>
                <w:lang w:val="ro-MD"/>
              </w:rPr>
              <w:t>„P</w:t>
            </w:r>
            <w:proofErr w:type="spellStart"/>
            <w:r w:rsidR="00675F66" w:rsidRPr="00675F66">
              <w:rPr>
                <w:b/>
                <w:sz w:val="18"/>
                <w:szCs w:val="18"/>
                <w:lang w:val="ro-RO"/>
              </w:rPr>
              <w:t>entru</w:t>
            </w:r>
            <w:proofErr w:type="spellEnd"/>
            <w:r w:rsidR="00675F66" w:rsidRPr="00675F66">
              <w:rPr>
                <w:b/>
                <w:sz w:val="18"/>
                <w:szCs w:val="18"/>
                <w:lang w:val="ro-RO"/>
              </w:rPr>
              <w:t xml:space="preserve"> modificarea unor acte normative ale </w:t>
            </w:r>
            <w:r w:rsidR="00675F66" w:rsidRPr="00675F66">
              <w:rPr>
                <w:b/>
                <w:sz w:val="18"/>
                <w:szCs w:val="18"/>
                <w:lang w:val="ro-MD"/>
              </w:rPr>
              <w:t xml:space="preserve">Băncii Naționale a Moldovei” </w:t>
            </w:r>
            <w:r w:rsidR="00675F66" w:rsidRPr="00675F66">
              <w:rPr>
                <w:b/>
                <w:sz w:val="18"/>
                <w:szCs w:val="18"/>
                <w:lang w:val="ro-RO"/>
              </w:rPr>
              <w:t xml:space="preserve">(modificarea Regulamentului cu privire la tratamentul riscului de decontare/livrare pentru bănci și </w:t>
            </w:r>
            <w:r w:rsidR="00675F66" w:rsidRPr="00675F66">
              <w:rPr>
                <w:b/>
                <w:sz w:val="18"/>
                <w:szCs w:val="18"/>
                <w:lang w:val="ro-MD"/>
              </w:rPr>
              <w:t xml:space="preserve">Regulamentului cu privire la calculul de către bănci al ajustărilor specifice </w:t>
            </w:r>
            <w:proofErr w:type="spellStart"/>
            <w:r w:rsidR="00675F66" w:rsidRPr="00675F66">
              <w:rPr>
                <w:b/>
                <w:sz w:val="18"/>
                <w:szCs w:val="18"/>
                <w:lang w:val="ro-MD"/>
              </w:rPr>
              <w:t>şi</w:t>
            </w:r>
            <w:proofErr w:type="spellEnd"/>
            <w:r w:rsidR="00675F66" w:rsidRPr="00675F66">
              <w:rPr>
                <w:b/>
                <w:sz w:val="18"/>
                <w:szCs w:val="18"/>
                <w:lang w:val="ro-MD"/>
              </w:rPr>
              <w:t xml:space="preserve"> al ajustărilor generale pentru riscul de credit)</w:t>
            </w:r>
          </w:p>
        </w:tc>
        <w:tc>
          <w:tcPr>
            <w:tcW w:w="1229" w:type="dxa"/>
          </w:tcPr>
          <w:p w14:paraId="29D9153D" w14:textId="77777777" w:rsidR="001A4DE8" w:rsidRPr="003F5B3C" w:rsidRDefault="001A4DE8" w:rsidP="00B93C1C">
            <w:pPr>
              <w:jc w:val="both"/>
              <w:rPr>
                <w:b/>
                <w:strike/>
                <w:sz w:val="18"/>
                <w:szCs w:val="18"/>
                <w:lang w:val="ro-MD"/>
              </w:rPr>
            </w:pPr>
          </w:p>
        </w:tc>
        <w:tc>
          <w:tcPr>
            <w:tcW w:w="5292" w:type="dxa"/>
            <w:tcBorders>
              <w:top w:val="single" w:sz="4" w:space="0" w:color="auto"/>
              <w:bottom w:val="single" w:sz="4" w:space="0" w:color="auto"/>
            </w:tcBorders>
          </w:tcPr>
          <w:p w14:paraId="470CB7BC" w14:textId="77777777" w:rsidR="001A4DE8" w:rsidRPr="003F5B3C" w:rsidRDefault="001A4DE8" w:rsidP="00B93C1C">
            <w:pPr>
              <w:jc w:val="both"/>
              <w:rPr>
                <w:strike/>
                <w:sz w:val="18"/>
                <w:szCs w:val="18"/>
                <w:lang w:val="ro-MD"/>
              </w:rPr>
            </w:pPr>
          </w:p>
        </w:tc>
      </w:tr>
      <w:tr w:rsidR="001A4DE8" w:rsidRPr="006D6A9C" w14:paraId="61B5325F" w14:textId="77777777" w:rsidTr="001D1CBF">
        <w:trPr>
          <w:trHeight w:val="918"/>
        </w:trPr>
        <w:tc>
          <w:tcPr>
            <w:tcW w:w="4253" w:type="dxa"/>
            <w:shd w:val="clear" w:color="auto" w:fill="F2F2F2" w:themeFill="background1" w:themeFillShade="F2"/>
          </w:tcPr>
          <w:p w14:paraId="09E99B9D" w14:textId="21064CBB" w:rsidR="001A4DE8" w:rsidRPr="003F5B3C" w:rsidRDefault="001A4DE8" w:rsidP="00643F80">
            <w:pPr>
              <w:pStyle w:val="CM4"/>
              <w:spacing w:after="120"/>
              <w:jc w:val="both"/>
              <w:rPr>
                <w:rFonts w:ascii="Times New Roman" w:hAnsi="Times New Roman"/>
                <w:bCs/>
                <w:sz w:val="18"/>
                <w:szCs w:val="18"/>
                <w:lang w:val="ro-MD"/>
              </w:rPr>
            </w:pPr>
          </w:p>
        </w:tc>
        <w:tc>
          <w:tcPr>
            <w:tcW w:w="3685" w:type="dxa"/>
            <w:shd w:val="clear" w:color="auto" w:fill="F2F2F2" w:themeFill="background1" w:themeFillShade="F2"/>
          </w:tcPr>
          <w:p w14:paraId="2935CC65" w14:textId="5496AF4A" w:rsidR="004B63BB" w:rsidRPr="001D1CBF" w:rsidRDefault="001D1CBF" w:rsidP="00B93C1C">
            <w:pPr>
              <w:jc w:val="both"/>
              <w:rPr>
                <w:b/>
                <w:bCs/>
                <w:i/>
                <w:sz w:val="18"/>
                <w:szCs w:val="18"/>
                <w:lang w:val="ro-MD"/>
              </w:rPr>
            </w:pPr>
            <w:r w:rsidRPr="001D1CBF">
              <w:rPr>
                <w:b/>
                <w:bCs/>
                <w:sz w:val="18"/>
                <w:szCs w:val="18"/>
                <w:lang w:val="ro-RO"/>
              </w:rPr>
              <w:t xml:space="preserve">Regulamentul cu privire la </w:t>
            </w:r>
            <w:r w:rsidRPr="001D1CBF">
              <w:rPr>
                <w:b/>
                <w:bCs/>
                <w:sz w:val="18"/>
                <w:szCs w:val="18"/>
                <w:lang w:val="ro-MD"/>
              </w:rPr>
              <w:t xml:space="preserve">calculul de către bănci al ajustărilor specifice </w:t>
            </w:r>
            <w:proofErr w:type="spellStart"/>
            <w:r w:rsidRPr="001D1CBF">
              <w:rPr>
                <w:b/>
                <w:bCs/>
                <w:sz w:val="18"/>
                <w:szCs w:val="18"/>
                <w:lang w:val="ro-MD"/>
              </w:rPr>
              <w:t>şi</w:t>
            </w:r>
            <w:proofErr w:type="spellEnd"/>
            <w:r w:rsidRPr="001D1CBF">
              <w:rPr>
                <w:b/>
                <w:bCs/>
                <w:sz w:val="18"/>
                <w:szCs w:val="18"/>
                <w:lang w:val="ro-MD"/>
              </w:rPr>
              <w:t xml:space="preserve"> al ajustărilor generale pentru riscul de credit</w:t>
            </w:r>
            <w:r w:rsidRPr="001D1CBF">
              <w:rPr>
                <w:b/>
                <w:bCs/>
                <w:sz w:val="18"/>
                <w:szCs w:val="18"/>
                <w:lang w:val="ro-RO"/>
              </w:rPr>
              <w:t xml:space="preserve">, aprobat prin </w:t>
            </w:r>
            <w:r>
              <w:rPr>
                <w:b/>
                <w:bCs/>
                <w:sz w:val="18"/>
                <w:szCs w:val="18"/>
                <w:lang w:val="ro-RO"/>
              </w:rPr>
              <w:t>HCE</w:t>
            </w:r>
            <w:r w:rsidRPr="001D1CBF">
              <w:rPr>
                <w:b/>
                <w:bCs/>
                <w:sz w:val="18"/>
                <w:szCs w:val="18"/>
                <w:lang w:val="ro-RO"/>
              </w:rPr>
              <w:t xml:space="preserve"> al B</w:t>
            </w:r>
            <w:r>
              <w:rPr>
                <w:b/>
                <w:bCs/>
                <w:sz w:val="18"/>
                <w:szCs w:val="18"/>
                <w:lang w:val="ro-RO"/>
              </w:rPr>
              <w:t>NM</w:t>
            </w:r>
            <w:r w:rsidRPr="001D1CBF">
              <w:rPr>
                <w:b/>
                <w:bCs/>
                <w:sz w:val="18"/>
                <w:szCs w:val="18"/>
                <w:lang w:val="ro-RO"/>
              </w:rPr>
              <w:t xml:space="preserve"> nr.116/2018</w:t>
            </w:r>
          </w:p>
        </w:tc>
        <w:tc>
          <w:tcPr>
            <w:tcW w:w="1229" w:type="dxa"/>
            <w:shd w:val="clear" w:color="auto" w:fill="F2F2F2" w:themeFill="background1" w:themeFillShade="F2"/>
          </w:tcPr>
          <w:p w14:paraId="0FEF19E2" w14:textId="3E3EBC60" w:rsidR="001A4DE8" w:rsidRPr="003F5B3C" w:rsidRDefault="001A4DE8" w:rsidP="00B93C1C">
            <w:pPr>
              <w:jc w:val="both"/>
              <w:rPr>
                <w:sz w:val="18"/>
                <w:szCs w:val="18"/>
                <w:lang w:val="ro-MD"/>
              </w:rPr>
            </w:pPr>
          </w:p>
        </w:tc>
        <w:tc>
          <w:tcPr>
            <w:tcW w:w="5292" w:type="dxa"/>
            <w:tcBorders>
              <w:top w:val="single" w:sz="4" w:space="0" w:color="auto"/>
              <w:bottom w:val="single" w:sz="4" w:space="0" w:color="auto"/>
            </w:tcBorders>
            <w:shd w:val="clear" w:color="auto" w:fill="F2F2F2" w:themeFill="background1" w:themeFillShade="F2"/>
          </w:tcPr>
          <w:p w14:paraId="1416A9B1" w14:textId="33CF9974" w:rsidR="001A4DE8" w:rsidRPr="003F5B3C" w:rsidRDefault="001A4DE8" w:rsidP="001A4DE8">
            <w:pPr>
              <w:rPr>
                <w:sz w:val="18"/>
                <w:szCs w:val="18"/>
                <w:lang w:val="ro-MD"/>
              </w:rPr>
            </w:pPr>
          </w:p>
        </w:tc>
      </w:tr>
      <w:tr w:rsidR="00643F80" w:rsidRPr="00775E84" w14:paraId="0EB746EF" w14:textId="77777777" w:rsidTr="00DB5AA7">
        <w:trPr>
          <w:trHeight w:val="711"/>
        </w:trPr>
        <w:tc>
          <w:tcPr>
            <w:tcW w:w="4253" w:type="dxa"/>
          </w:tcPr>
          <w:p w14:paraId="15D1A47B" w14:textId="77777777" w:rsidR="008D1BF3" w:rsidRPr="008D1BF3" w:rsidRDefault="008D1BF3" w:rsidP="008D1BF3">
            <w:pPr>
              <w:pStyle w:val="CM4"/>
              <w:spacing w:after="120"/>
              <w:jc w:val="both"/>
              <w:rPr>
                <w:rFonts w:ascii="Times New Roman" w:hAnsi="Times New Roman"/>
                <w:bCs/>
                <w:i/>
                <w:iCs/>
                <w:sz w:val="18"/>
                <w:szCs w:val="18"/>
              </w:rPr>
            </w:pPr>
            <w:proofErr w:type="spellStart"/>
            <w:r w:rsidRPr="008D1BF3">
              <w:rPr>
                <w:rFonts w:ascii="Times New Roman" w:hAnsi="Times New Roman"/>
                <w:bCs/>
                <w:i/>
                <w:iCs/>
                <w:sz w:val="18"/>
                <w:szCs w:val="18"/>
              </w:rPr>
              <w:t>Articolul</w:t>
            </w:r>
            <w:proofErr w:type="spellEnd"/>
            <w:r w:rsidRPr="008D1BF3">
              <w:rPr>
                <w:rFonts w:ascii="Times New Roman" w:hAnsi="Times New Roman"/>
                <w:bCs/>
                <w:i/>
                <w:iCs/>
                <w:sz w:val="18"/>
                <w:szCs w:val="18"/>
              </w:rPr>
              <w:t xml:space="preserve"> 110</w:t>
            </w:r>
          </w:p>
          <w:p w14:paraId="269FCE5D" w14:textId="77777777" w:rsidR="008D1BF3" w:rsidRPr="00DB5AA7" w:rsidRDefault="008D1BF3" w:rsidP="008D1BF3">
            <w:pPr>
              <w:pStyle w:val="CM4"/>
              <w:spacing w:after="120"/>
              <w:jc w:val="both"/>
              <w:rPr>
                <w:rFonts w:ascii="Times New Roman" w:hAnsi="Times New Roman"/>
                <w:b/>
                <w:sz w:val="18"/>
                <w:szCs w:val="18"/>
              </w:rPr>
            </w:pPr>
            <w:proofErr w:type="spellStart"/>
            <w:r w:rsidRPr="00DB5AA7">
              <w:rPr>
                <w:rFonts w:ascii="Times New Roman" w:hAnsi="Times New Roman"/>
                <w:b/>
                <w:sz w:val="18"/>
                <w:szCs w:val="18"/>
              </w:rPr>
              <w:t>Tratamentul</w:t>
            </w:r>
            <w:proofErr w:type="spellEnd"/>
            <w:r w:rsidRPr="00DB5AA7">
              <w:rPr>
                <w:rFonts w:ascii="Times New Roman" w:hAnsi="Times New Roman"/>
                <w:b/>
                <w:sz w:val="18"/>
                <w:szCs w:val="18"/>
              </w:rPr>
              <w:t xml:space="preserve"> </w:t>
            </w:r>
            <w:proofErr w:type="spellStart"/>
            <w:r w:rsidRPr="00DB5AA7">
              <w:rPr>
                <w:rFonts w:ascii="Times New Roman" w:hAnsi="Times New Roman"/>
                <w:b/>
                <w:sz w:val="18"/>
                <w:szCs w:val="18"/>
              </w:rPr>
              <w:t>ajustării</w:t>
            </w:r>
            <w:proofErr w:type="spellEnd"/>
            <w:r w:rsidRPr="00DB5AA7">
              <w:rPr>
                <w:rFonts w:ascii="Times New Roman" w:hAnsi="Times New Roman"/>
                <w:b/>
                <w:sz w:val="18"/>
                <w:szCs w:val="18"/>
              </w:rPr>
              <w:t xml:space="preserve"> </w:t>
            </w:r>
            <w:proofErr w:type="spellStart"/>
            <w:r w:rsidRPr="00DB5AA7">
              <w:rPr>
                <w:rFonts w:ascii="Times New Roman" w:hAnsi="Times New Roman"/>
                <w:b/>
                <w:sz w:val="18"/>
                <w:szCs w:val="18"/>
              </w:rPr>
              <w:t>pentru</w:t>
            </w:r>
            <w:proofErr w:type="spellEnd"/>
            <w:r w:rsidRPr="00DB5AA7">
              <w:rPr>
                <w:rFonts w:ascii="Times New Roman" w:hAnsi="Times New Roman"/>
                <w:b/>
                <w:sz w:val="18"/>
                <w:szCs w:val="18"/>
              </w:rPr>
              <w:t xml:space="preserve"> </w:t>
            </w:r>
            <w:proofErr w:type="spellStart"/>
            <w:r w:rsidRPr="00DB5AA7">
              <w:rPr>
                <w:rFonts w:ascii="Times New Roman" w:hAnsi="Times New Roman"/>
                <w:b/>
                <w:sz w:val="18"/>
                <w:szCs w:val="18"/>
              </w:rPr>
              <w:t>riscul</w:t>
            </w:r>
            <w:proofErr w:type="spellEnd"/>
            <w:r w:rsidRPr="00DB5AA7">
              <w:rPr>
                <w:rFonts w:ascii="Times New Roman" w:hAnsi="Times New Roman"/>
                <w:b/>
                <w:sz w:val="18"/>
                <w:szCs w:val="18"/>
              </w:rPr>
              <w:t xml:space="preserve"> de credit</w:t>
            </w:r>
          </w:p>
          <w:p w14:paraId="7E2137F1" w14:textId="2CE00030" w:rsidR="00643F80" w:rsidRPr="008D1BF3" w:rsidRDefault="008D1BF3" w:rsidP="008D1BF3">
            <w:pPr>
              <w:pStyle w:val="CM4"/>
              <w:spacing w:after="120"/>
              <w:jc w:val="both"/>
              <w:rPr>
                <w:rFonts w:ascii="Times New Roman" w:hAnsi="Times New Roman"/>
                <w:bCs/>
                <w:sz w:val="18"/>
                <w:szCs w:val="18"/>
              </w:rPr>
            </w:pPr>
            <w:r w:rsidRPr="008D1BF3">
              <w:rPr>
                <w:rFonts w:ascii="Times New Roman" w:hAnsi="Times New Roman"/>
                <w:bCs/>
                <w:sz w:val="18"/>
                <w:szCs w:val="18"/>
              </w:rPr>
              <w:t xml:space="preserve">(1) </w:t>
            </w:r>
            <w:proofErr w:type="spellStart"/>
            <w:r w:rsidRPr="008D1BF3">
              <w:rPr>
                <w:rFonts w:ascii="Times New Roman" w:hAnsi="Times New Roman"/>
                <w:bCs/>
                <w:sz w:val="18"/>
                <w:szCs w:val="18"/>
              </w:rPr>
              <w:t>Instituţiile</w:t>
            </w:r>
            <w:proofErr w:type="spellEnd"/>
            <w:r w:rsidRPr="008D1BF3">
              <w:rPr>
                <w:rFonts w:ascii="Times New Roman" w:hAnsi="Times New Roman"/>
                <w:bCs/>
                <w:sz w:val="18"/>
                <w:szCs w:val="18"/>
              </w:rPr>
              <w:t xml:space="preserve"> care </w:t>
            </w:r>
            <w:proofErr w:type="spellStart"/>
            <w:r w:rsidRPr="008D1BF3">
              <w:rPr>
                <w:rFonts w:ascii="Times New Roman" w:hAnsi="Times New Roman"/>
                <w:bCs/>
                <w:sz w:val="18"/>
                <w:szCs w:val="18"/>
              </w:rPr>
              <w:t>aplică</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abordarea</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standardizată</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tratează</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ajustările</w:t>
            </w:r>
            <w:proofErr w:type="spellEnd"/>
            <w:r w:rsidRPr="008D1BF3">
              <w:rPr>
                <w:rFonts w:ascii="Times New Roman" w:hAnsi="Times New Roman"/>
                <w:bCs/>
                <w:sz w:val="18"/>
                <w:szCs w:val="18"/>
              </w:rPr>
              <w:t xml:space="preserve"> generale </w:t>
            </w:r>
            <w:proofErr w:type="spellStart"/>
            <w:r w:rsidRPr="008D1BF3">
              <w:rPr>
                <w:rFonts w:ascii="Times New Roman" w:hAnsi="Times New Roman"/>
                <w:bCs/>
                <w:sz w:val="18"/>
                <w:szCs w:val="18"/>
              </w:rPr>
              <w:t>pentru</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riscul</w:t>
            </w:r>
            <w:proofErr w:type="spellEnd"/>
            <w:r w:rsidRPr="008D1BF3">
              <w:rPr>
                <w:rFonts w:ascii="Times New Roman" w:hAnsi="Times New Roman"/>
                <w:bCs/>
                <w:sz w:val="18"/>
                <w:szCs w:val="18"/>
              </w:rPr>
              <w:t xml:space="preserve"> de credit </w:t>
            </w:r>
            <w:proofErr w:type="spellStart"/>
            <w:r w:rsidRPr="008D1BF3">
              <w:rPr>
                <w:rFonts w:ascii="Times New Roman" w:hAnsi="Times New Roman"/>
                <w:bCs/>
                <w:sz w:val="18"/>
                <w:szCs w:val="18"/>
              </w:rPr>
              <w:t>în</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conformitate</w:t>
            </w:r>
            <w:proofErr w:type="spellEnd"/>
            <w:r w:rsidRPr="008D1BF3">
              <w:rPr>
                <w:rFonts w:ascii="Times New Roman" w:hAnsi="Times New Roman"/>
                <w:bCs/>
                <w:sz w:val="18"/>
                <w:szCs w:val="18"/>
              </w:rPr>
              <w:t xml:space="preserve"> cu </w:t>
            </w:r>
            <w:proofErr w:type="spellStart"/>
            <w:r w:rsidRPr="008D1BF3">
              <w:rPr>
                <w:rFonts w:ascii="Times New Roman" w:hAnsi="Times New Roman"/>
                <w:bCs/>
                <w:sz w:val="18"/>
                <w:szCs w:val="18"/>
              </w:rPr>
              <w:t>articolul</w:t>
            </w:r>
            <w:proofErr w:type="spellEnd"/>
            <w:r w:rsidRPr="008D1BF3">
              <w:rPr>
                <w:rFonts w:ascii="Times New Roman" w:hAnsi="Times New Roman"/>
                <w:bCs/>
                <w:sz w:val="18"/>
                <w:szCs w:val="18"/>
              </w:rPr>
              <w:t xml:space="preserve"> 62 </w:t>
            </w:r>
            <w:proofErr w:type="spellStart"/>
            <w:r w:rsidRPr="008D1BF3">
              <w:rPr>
                <w:rFonts w:ascii="Times New Roman" w:hAnsi="Times New Roman"/>
                <w:bCs/>
                <w:sz w:val="18"/>
                <w:szCs w:val="18"/>
              </w:rPr>
              <w:t>litera</w:t>
            </w:r>
            <w:proofErr w:type="spellEnd"/>
            <w:r w:rsidRPr="008D1BF3">
              <w:rPr>
                <w:rFonts w:ascii="Times New Roman" w:hAnsi="Times New Roman"/>
                <w:bCs/>
                <w:sz w:val="18"/>
                <w:szCs w:val="18"/>
              </w:rPr>
              <w:t xml:space="preserve"> (c).</w:t>
            </w:r>
          </w:p>
        </w:tc>
        <w:tc>
          <w:tcPr>
            <w:tcW w:w="3685" w:type="dxa"/>
            <w:shd w:val="clear" w:color="auto" w:fill="auto"/>
          </w:tcPr>
          <w:p w14:paraId="5E56D65D" w14:textId="77777777" w:rsidR="00775E84" w:rsidRPr="00775E84" w:rsidRDefault="00775E84" w:rsidP="00775E84">
            <w:pPr>
              <w:jc w:val="center"/>
              <w:rPr>
                <w:b/>
                <w:bCs/>
                <w:sz w:val="18"/>
                <w:szCs w:val="18"/>
                <w:lang w:val="ro-MD" w:eastAsia="ro-MD"/>
              </w:rPr>
            </w:pPr>
            <w:r w:rsidRPr="00775E84">
              <w:rPr>
                <w:b/>
                <w:bCs/>
                <w:sz w:val="18"/>
                <w:szCs w:val="18"/>
                <w:lang w:val="ro-MD" w:eastAsia="ro-MD"/>
              </w:rPr>
              <w:t>Capitolul I</w:t>
            </w:r>
          </w:p>
          <w:p w14:paraId="446A9F9A" w14:textId="6EF88981" w:rsidR="00775E84" w:rsidRPr="00775E84" w:rsidRDefault="00775E84" w:rsidP="00775E84">
            <w:pPr>
              <w:jc w:val="center"/>
              <w:rPr>
                <w:b/>
                <w:bCs/>
                <w:sz w:val="18"/>
                <w:szCs w:val="18"/>
                <w:lang w:val="ro-MD" w:eastAsia="ro-MD"/>
              </w:rPr>
            </w:pPr>
            <w:r w:rsidRPr="00775E84">
              <w:rPr>
                <w:b/>
                <w:bCs/>
                <w:sz w:val="18"/>
                <w:szCs w:val="18"/>
                <w:lang w:val="ro-MD" w:eastAsia="ro-MD"/>
              </w:rPr>
              <w:t>PREVEDERI GENERALE</w:t>
            </w:r>
          </w:p>
          <w:p w14:paraId="72B329C8" w14:textId="1449D18B" w:rsidR="00775E84" w:rsidRDefault="00775E84" w:rsidP="00775E84">
            <w:pPr>
              <w:jc w:val="both"/>
              <w:rPr>
                <w:b/>
                <w:bCs/>
                <w:sz w:val="18"/>
                <w:szCs w:val="18"/>
                <w:lang w:val="ro-MD" w:eastAsia="ro-MD"/>
              </w:rPr>
            </w:pPr>
            <w:r>
              <w:rPr>
                <w:b/>
                <w:bCs/>
                <w:sz w:val="18"/>
                <w:szCs w:val="18"/>
                <w:lang w:val="ro-MD" w:eastAsia="ro-MD"/>
              </w:rPr>
              <w:t>....</w:t>
            </w:r>
          </w:p>
          <w:p w14:paraId="37AE505E" w14:textId="6B59E500" w:rsidR="00775E84" w:rsidRDefault="00775E84" w:rsidP="00775E84">
            <w:pPr>
              <w:jc w:val="both"/>
              <w:rPr>
                <w:sz w:val="18"/>
                <w:szCs w:val="18"/>
                <w:lang w:val="ro-MD" w:eastAsia="ro-MD"/>
              </w:rPr>
            </w:pPr>
            <w:r w:rsidRPr="00775E84">
              <w:rPr>
                <w:b/>
                <w:bCs/>
                <w:sz w:val="18"/>
                <w:szCs w:val="18"/>
                <w:lang w:val="ro-MD" w:eastAsia="ro-MD"/>
              </w:rPr>
              <w:t>4.</w:t>
            </w:r>
            <w:r w:rsidRPr="00775E84">
              <w:rPr>
                <w:sz w:val="18"/>
                <w:szCs w:val="18"/>
                <w:lang w:val="ro-MD" w:eastAsia="ro-MD"/>
              </w:rPr>
              <w:t xml:space="preserve"> Băncile care aplică abordarea standardizată trebuie să trateze ajustările generale pentru riscul de credit în conformitate cu reglementările </w:t>
            </w:r>
            <w:r w:rsidRPr="00775E84">
              <w:rPr>
                <w:sz w:val="18"/>
                <w:szCs w:val="18"/>
                <w:lang w:val="ro-MD" w:eastAsia="ro-MD"/>
              </w:rPr>
              <w:lastRenderedPageBreak/>
              <w:t xml:space="preserve">aferente fondurilor proprii ale băncilor </w:t>
            </w:r>
            <w:proofErr w:type="spellStart"/>
            <w:r w:rsidRPr="00775E84">
              <w:rPr>
                <w:sz w:val="18"/>
                <w:szCs w:val="18"/>
                <w:lang w:val="ro-MD" w:eastAsia="ro-MD"/>
              </w:rPr>
              <w:t>şi</w:t>
            </w:r>
            <w:proofErr w:type="spellEnd"/>
            <w:r w:rsidRPr="00775E84">
              <w:rPr>
                <w:sz w:val="18"/>
                <w:szCs w:val="18"/>
                <w:lang w:val="ro-MD" w:eastAsia="ro-MD"/>
              </w:rPr>
              <w:t xml:space="preserve"> </w:t>
            </w:r>
            <w:proofErr w:type="spellStart"/>
            <w:r w:rsidRPr="00775E84">
              <w:rPr>
                <w:sz w:val="18"/>
                <w:szCs w:val="18"/>
                <w:lang w:val="ro-MD" w:eastAsia="ro-MD"/>
              </w:rPr>
              <w:t>cerinţelor</w:t>
            </w:r>
            <w:proofErr w:type="spellEnd"/>
            <w:r w:rsidRPr="00775E84">
              <w:rPr>
                <w:sz w:val="18"/>
                <w:szCs w:val="18"/>
                <w:lang w:val="ro-MD" w:eastAsia="ro-MD"/>
              </w:rPr>
              <w:t xml:space="preserve"> de capital.</w:t>
            </w:r>
          </w:p>
          <w:p w14:paraId="12DB07CB" w14:textId="77777777" w:rsidR="00775E84" w:rsidRDefault="00775E84" w:rsidP="00775E84">
            <w:pPr>
              <w:jc w:val="both"/>
              <w:rPr>
                <w:sz w:val="18"/>
                <w:szCs w:val="18"/>
                <w:lang w:val="ro-MD" w:eastAsia="ro-MD"/>
              </w:rPr>
            </w:pPr>
          </w:p>
          <w:p w14:paraId="5B6C0280" w14:textId="5EC43553" w:rsidR="00643F80" w:rsidRPr="00775E84" w:rsidRDefault="00775E84" w:rsidP="00775E84">
            <w:pPr>
              <w:rPr>
                <w:sz w:val="18"/>
                <w:szCs w:val="18"/>
                <w:lang w:val="ro-MD" w:eastAsia="ro-MD"/>
              </w:rPr>
            </w:pPr>
            <w:r w:rsidRPr="00775E84">
              <w:rPr>
                <w:b/>
                <w:bCs/>
                <w:i/>
                <w:iCs/>
                <w:sz w:val="18"/>
                <w:szCs w:val="18"/>
                <w:lang w:val="ro-RO" w:eastAsia="ro-MD"/>
              </w:rPr>
              <w:t>Preveder</w:t>
            </w:r>
            <w:r>
              <w:rPr>
                <w:b/>
                <w:bCs/>
                <w:i/>
                <w:iCs/>
                <w:sz w:val="18"/>
                <w:szCs w:val="18"/>
                <w:lang w:val="ro-RO" w:eastAsia="ro-MD"/>
              </w:rPr>
              <w:t>e</w:t>
            </w:r>
            <w:r w:rsidRPr="00775E84">
              <w:rPr>
                <w:b/>
                <w:bCs/>
                <w:i/>
                <w:iCs/>
                <w:sz w:val="18"/>
                <w:szCs w:val="18"/>
                <w:lang w:val="ro-RO" w:eastAsia="ro-MD"/>
              </w:rPr>
              <w:t xml:space="preserve"> existent</w:t>
            </w:r>
            <w:r>
              <w:rPr>
                <w:b/>
                <w:bCs/>
                <w:i/>
                <w:iCs/>
                <w:sz w:val="18"/>
                <w:szCs w:val="18"/>
                <w:lang w:val="ro-RO" w:eastAsia="ro-MD"/>
              </w:rPr>
              <w:t>ă</w:t>
            </w:r>
            <w:r w:rsidRPr="00775E84">
              <w:rPr>
                <w:b/>
                <w:bCs/>
                <w:i/>
                <w:iCs/>
                <w:sz w:val="18"/>
                <w:szCs w:val="18"/>
                <w:lang w:val="ro-RO" w:eastAsia="ro-MD"/>
              </w:rPr>
              <w:t xml:space="preserve"> - </w:t>
            </w:r>
            <w:r w:rsidRPr="00775E84">
              <w:rPr>
                <w:i/>
                <w:iCs/>
                <w:sz w:val="18"/>
                <w:szCs w:val="18"/>
                <w:lang w:val="ro-RO" w:eastAsia="ro-MD"/>
              </w:rPr>
              <w:t>Regulamentul nr.11</w:t>
            </w:r>
            <w:r>
              <w:rPr>
                <w:i/>
                <w:iCs/>
                <w:sz w:val="18"/>
                <w:szCs w:val="18"/>
                <w:lang w:val="ro-RO" w:eastAsia="ro-MD"/>
              </w:rPr>
              <w:t>6</w:t>
            </w:r>
            <w:r w:rsidRPr="00775E84">
              <w:rPr>
                <w:i/>
                <w:iCs/>
                <w:sz w:val="18"/>
                <w:szCs w:val="18"/>
                <w:lang w:val="ro-RO" w:eastAsia="ro-MD"/>
              </w:rPr>
              <w:t>/2018</w:t>
            </w:r>
          </w:p>
        </w:tc>
        <w:tc>
          <w:tcPr>
            <w:tcW w:w="1229" w:type="dxa"/>
          </w:tcPr>
          <w:p w14:paraId="59A8BC58" w14:textId="38524DCA" w:rsidR="00643F80" w:rsidRPr="003F5B3C" w:rsidRDefault="00D47212" w:rsidP="00B93C1C">
            <w:pPr>
              <w:jc w:val="both"/>
              <w:rPr>
                <w:sz w:val="18"/>
                <w:szCs w:val="18"/>
                <w:lang w:val="ro-MD"/>
              </w:rPr>
            </w:pPr>
            <w:r>
              <w:rPr>
                <w:sz w:val="18"/>
                <w:szCs w:val="18"/>
                <w:lang w:val="ro-MD"/>
              </w:rPr>
              <w:lastRenderedPageBreak/>
              <w:t>Compatibil.</w:t>
            </w:r>
          </w:p>
        </w:tc>
        <w:tc>
          <w:tcPr>
            <w:tcW w:w="5292" w:type="dxa"/>
            <w:tcBorders>
              <w:top w:val="single" w:sz="4" w:space="0" w:color="auto"/>
              <w:bottom w:val="single" w:sz="4" w:space="0" w:color="auto"/>
            </w:tcBorders>
          </w:tcPr>
          <w:p w14:paraId="394E5FA0" w14:textId="77777777" w:rsidR="00643F80" w:rsidRPr="003F5B3C" w:rsidRDefault="00643F80" w:rsidP="001A4DE8">
            <w:pPr>
              <w:rPr>
                <w:sz w:val="18"/>
                <w:szCs w:val="18"/>
                <w:lang w:val="ro-MD"/>
              </w:rPr>
            </w:pPr>
          </w:p>
        </w:tc>
      </w:tr>
      <w:tr w:rsidR="00643F80" w:rsidRPr="00775E84" w14:paraId="32048E11" w14:textId="77777777" w:rsidTr="003F5B3C">
        <w:trPr>
          <w:trHeight w:val="918"/>
        </w:trPr>
        <w:tc>
          <w:tcPr>
            <w:tcW w:w="4253" w:type="dxa"/>
          </w:tcPr>
          <w:p w14:paraId="5C7FD937" w14:textId="77777777" w:rsidR="008D1BF3" w:rsidRPr="008D1BF3" w:rsidRDefault="008D1BF3" w:rsidP="008D1BF3">
            <w:pPr>
              <w:pStyle w:val="CM4"/>
              <w:spacing w:after="120"/>
              <w:jc w:val="both"/>
              <w:rPr>
                <w:rFonts w:ascii="Times New Roman" w:hAnsi="Times New Roman"/>
                <w:bCs/>
                <w:sz w:val="18"/>
                <w:szCs w:val="18"/>
              </w:rPr>
            </w:pPr>
            <w:r w:rsidRPr="008D1BF3">
              <w:rPr>
                <w:rFonts w:ascii="Times New Roman" w:hAnsi="Times New Roman"/>
                <w:bCs/>
                <w:sz w:val="18"/>
                <w:szCs w:val="18"/>
              </w:rPr>
              <w:t xml:space="preserve">(2) </w:t>
            </w:r>
            <w:proofErr w:type="spellStart"/>
            <w:r w:rsidRPr="008D1BF3">
              <w:rPr>
                <w:rFonts w:ascii="Times New Roman" w:hAnsi="Times New Roman"/>
                <w:bCs/>
                <w:sz w:val="18"/>
                <w:szCs w:val="18"/>
              </w:rPr>
              <w:t>Instituţiile</w:t>
            </w:r>
            <w:proofErr w:type="spellEnd"/>
            <w:r w:rsidRPr="008D1BF3">
              <w:rPr>
                <w:rFonts w:ascii="Times New Roman" w:hAnsi="Times New Roman"/>
                <w:bCs/>
                <w:sz w:val="18"/>
                <w:szCs w:val="18"/>
              </w:rPr>
              <w:t xml:space="preserve"> care </w:t>
            </w:r>
            <w:proofErr w:type="spellStart"/>
            <w:r w:rsidRPr="008D1BF3">
              <w:rPr>
                <w:rFonts w:ascii="Times New Roman" w:hAnsi="Times New Roman"/>
                <w:bCs/>
                <w:sz w:val="18"/>
                <w:szCs w:val="18"/>
              </w:rPr>
              <w:t>aplică</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abordarea</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bazată</w:t>
            </w:r>
            <w:proofErr w:type="spellEnd"/>
            <w:r w:rsidRPr="008D1BF3">
              <w:rPr>
                <w:rFonts w:ascii="Times New Roman" w:hAnsi="Times New Roman"/>
                <w:bCs/>
                <w:sz w:val="18"/>
                <w:szCs w:val="18"/>
              </w:rPr>
              <w:t xml:space="preserve"> pe </w:t>
            </w:r>
            <w:proofErr w:type="spellStart"/>
            <w:r w:rsidRPr="008D1BF3">
              <w:rPr>
                <w:rFonts w:ascii="Times New Roman" w:hAnsi="Times New Roman"/>
                <w:bCs/>
                <w:sz w:val="18"/>
                <w:szCs w:val="18"/>
              </w:rPr>
              <w:t>modele</w:t>
            </w:r>
            <w:proofErr w:type="spellEnd"/>
            <w:r w:rsidRPr="008D1BF3">
              <w:rPr>
                <w:rFonts w:ascii="Times New Roman" w:hAnsi="Times New Roman"/>
                <w:bCs/>
                <w:sz w:val="18"/>
                <w:szCs w:val="18"/>
              </w:rPr>
              <w:t xml:space="preserve"> interne de rating </w:t>
            </w:r>
            <w:proofErr w:type="spellStart"/>
            <w:r w:rsidRPr="008D1BF3">
              <w:rPr>
                <w:rFonts w:ascii="Times New Roman" w:hAnsi="Times New Roman"/>
                <w:bCs/>
                <w:sz w:val="18"/>
                <w:szCs w:val="18"/>
              </w:rPr>
              <w:t>tratează</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ajustările</w:t>
            </w:r>
            <w:proofErr w:type="spellEnd"/>
            <w:r w:rsidRPr="008D1BF3">
              <w:rPr>
                <w:rFonts w:ascii="Times New Roman" w:hAnsi="Times New Roman"/>
                <w:bCs/>
                <w:sz w:val="18"/>
                <w:szCs w:val="18"/>
              </w:rPr>
              <w:t xml:space="preserve"> generale </w:t>
            </w:r>
            <w:proofErr w:type="spellStart"/>
            <w:r w:rsidRPr="008D1BF3">
              <w:rPr>
                <w:rFonts w:ascii="Times New Roman" w:hAnsi="Times New Roman"/>
                <w:bCs/>
                <w:sz w:val="18"/>
                <w:szCs w:val="18"/>
              </w:rPr>
              <w:t>pentru</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riscul</w:t>
            </w:r>
            <w:proofErr w:type="spellEnd"/>
            <w:r w:rsidRPr="008D1BF3">
              <w:rPr>
                <w:rFonts w:ascii="Times New Roman" w:hAnsi="Times New Roman"/>
                <w:bCs/>
                <w:sz w:val="18"/>
                <w:szCs w:val="18"/>
              </w:rPr>
              <w:t xml:space="preserve"> de credit </w:t>
            </w:r>
            <w:proofErr w:type="spellStart"/>
            <w:r w:rsidRPr="008D1BF3">
              <w:rPr>
                <w:rFonts w:ascii="Times New Roman" w:hAnsi="Times New Roman"/>
                <w:bCs/>
                <w:sz w:val="18"/>
                <w:szCs w:val="18"/>
              </w:rPr>
              <w:t>în</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conformitate</w:t>
            </w:r>
            <w:proofErr w:type="spellEnd"/>
            <w:r w:rsidRPr="008D1BF3">
              <w:rPr>
                <w:rFonts w:ascii="Times New Roman" w:hAnsi="Times New Roman"/>
                <w:bCs/>
                <w:sz w:val="18"/>
                <w:szCs w:val="18"/>
              </w:rPr>
              <w:t xml:space="preserve"> cu </w:t>
            </w:r>
            <w:proofErr w:type="spellStart"/>
            <w:r w:rsidRPr="008D1BF3">
              <w:rPr>
                <w:rFonts w:ascii="Times New Roman" w:hAnsi="Times New Roman"/>
                <w:bCs/>
                <w:sz w:val="18"/>
                <w:szCs w:val="18"/>
              </w:rPr>
              <w:t>articolul</w:t>
            </w:r>
            <w:proofErr w:type="spellEnd"/>
            <w:r w:rsidRPr="008D1BF3">
              <w:rPr>
                <w:rFonts w:ascii="Times New Roman" w:hAnsi="Times New Roman"/>
                <w:bCs/>
                <w:sz w:val="18"/>
                <w:szCs w:val="18"/>
              </w:rPr>
              <w:t xml:space="preserve"> 159, cu </w:t>
            </w:r>
            <w:proofErr w:type="spellStart"/>
            <w:r w:rsidRPr="008D1BF3">
              <w:rPr>
                <w:rFonts w:ascii="Times New Roman" w:hAnsi="Times New Roman"/>
                <w:bCs/>
                <w:sz w:val="18"/>
                <w:szCs w:val="18"/>
              </w:rPr>
              <w:t>articolul</w:t>
            </w:r>
            <w:proofErr w:type="spellEnd"/>
            <w:r w:rsidRPr="008D1BF3">
              <w:rPr>
                <w:rFonts w:ascii="Times New Roman" w:hAnsi="Times New Roman"/>
                <w:bCs/>
                <w:sz w:val="18"/>
                <w:szCs w:val="18"/>
              </w:rPr>
              <w:t xml:space="preserve"> 62 </w:t>
            </w:r>
            <w:proofErr w:type="spellStart"/>
            <w:r w:rsidRPr="008D1BF3">
              <w:rPr>
                <w:rFonts w:ascii="Times New Roman" w:hAnsi="Times New Roman"/>
                <w:bCs/>
                <w:sz w:val="18"/>
                <w:szCs w:val="18"/>
              </w:rPr>
              <w:t>litera</w:t>
            </w:r>
            <w:proofErr w:type="spellEnd"/>
            <w:r w:rsidRPr="008D1BF3">
              <w:rPr>
                <w:rFonts w:ascii="Times New Roman" w:hAnsi="Times New Roman"/>
                <w:bCs/>
                <w:sz w:val="18"/>
                <w:szCs w:val="18"/>
              </w:rPr>
              <w:t xml:space="preserve"> (d) </w:t>
            </w:r>
            <w:proofErr w:type="spellStart"/>
            <w:r w:rsidRPr="008D1BF3">
              <w:rPr>
                <w:rFonts w:ascii="Times New Roman" w:hAnsi="Times New Roman"/>
                <w:bCs/>
                <w:sz w:val="18"/>
                <w:szCs w:val="18"/>
              </w:rPr>
              <w:t>și</w:t>
            </w:r>
            <w:proofErr w:type="spellEnd"/>
            <w:r w:rsidRPr="008D1BF3">
              <w:rPr>
                <w:rFonts w:ascii="Times New Roman" w:hAnsi="Times New Roman"/>
                <w:bCs/>
                <w:sz w:val="18"/>
                <w:szCs w:val="18"/>
              </w:rPr>
              <w:t xml:space="preserve"> cu </w:t>
            </w:r>
            <w:proofErr w:type="spellStart"/>
            <w:r w:rsidRPr="008D1BF3">
              <w:rPr>
                <w:rFonts w:ascii="Times New Roman" w:hAnsi="Times New Roman"/>
                <w:bCs/>
                <w:sz w:val="18"/>
                <w:szCs w:val="18"/>
              </w:rPr>
              <w:t>articolul</w:t>
            </w:r>
            <w:proofErr w:type="spellEnd"/>
            <w:r w:rsidRPr="008D1BF3">
              <w:rPr>
                <w:rFonts w:ascii="Times New Roman" w:hAnsi="Times New Roman"/>
                <w:bCs/>
                <w:sz w:val="18"/>
                <w:szCs w:val="18"/>
              </w:rPr>
              <w:t xml:space="preserve"> 36 </w:t>
            </w:r>
            <w:proofErr w:type="spellStart"/>
            <w:r w:rsidRPr="008D1BF3">
              <w:rPr>
                <w:rFonts w:ascii="Times New Roman" w:hAnsi="Times New Roman"/>
                <w:bCs/>
                <w:sz w:val="18"/>
                <w:szCs w:val="18"/>
              </w:rPr>
              <w:t>alineatul</w:t>
            </w:r>
            <w:proofErr w:type="spellEnd"/>
            <w:r w:rsidRPr="008D1BF3">
              <w:rPr>
                <w:rFonts w:ascii="Times New Roman" w:hAnsi="Times New Roman"/>
                <w:bCs/>
                <w:sz w:val="18"/>
                <w:szCs w:val="18"/>
              </w:rPr>
              <w:t xml:space="preserve"> (1) </w:t>
            </w:r>
            <w:proofErr w:type="spellStart"/>
            <w:r w:rsidRPr="008D1BF3">
              <w:rPr>
                <w:rFonts w:ascii="Times New Roman" w:hAnsi="Times New Roman"/>
                <w:bCs/>
                <w:sz w:val="18"/>
                <w:szCs w:val="18"/>
              </w:rPr>
              <w:t>litera</w:t>
            </w:r>
            <w:proofErr w:type="spellEnd"/>
            <w:r w:rsidRPr="008D1BF3">
              <w:rPr>
                <w:rFonts w:ascii="Times New Roman" w:hAnsi="Times New Roman"/>
                <w:bCs/>
                <w:sz w:val="18"/>
                <w:szCs w:val="18"/>
              </w:rPr>
              <w:t xml:space="preserve"> (d).</w:t>
            </w:r>
          </w:p>
          <w:p w14:paraId="7E14CA17" w14:textId="41F9F2AF" w:rsidR="00643F80" w:rsidRPr="008D1BF3" w:rsidRDefault="008D1BF3" w:rsidP="008D1BF3">
            <w:pPr>
              <w:pStyle w:val="CM4"/>
              <w:spacing w:after="120"/>
              <w:jc w:val="both"/>
              <w:rPr>
                <w:rFonts w:ascii="Times New Roman" w:hAnsi="Times New Roman"/>
                <w:bCs/>
                <w:sz w:val="18"/>
                <w:szCs w:val="18"/>
              </w:rPr>
            </w:pPr>
            <w:proofErr w:type="spellStart"/>
            <w:r w:rsidRPr="008D1BF3">
              <w:rPr>
                <w:rFonts w:ascii="Times New Roman" w:hAnsi="Times New Roman"/>
                <w:bCs/>
                <w:sz w:val="18"/>
                <w:szCs w:val="18"/>
              </w:rPr>
              <w:t>În</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sensul</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prezentului</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articol</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și</w:t>
            </w:r>
            <w:proofErr w:type="spellEnd"/>
            <w:r w:rsidRPr="008D1BF3">
              <w:rPr>
                <w:rFonts w:ascii="Times New Roman" w:hAnsi="Times New Roman"/>
                <w:bCs/>
                <w:sz w:val="18"/>
                <w:szCs w:val="18"/>
              </w:rPr>
              <w:t xml:space="preserve"> al </w:t>
            </w:r>
            <w:proofErr w:type="spellStart"/>
            <w:r w:rsidRPr="008D1BF3">
              <w:rPr>
                <w:rFonts w:ascii="Times New Roman" w:hAnsi="Times New Roman"/>
                <w:bCs/>
                <w:sz w:val="18"/>
                <w:szCs w:val="18"/>
              </w:rPr>
              <w:t>capitolelor</w:t>
            </w:r>
            <w:proofErr w:type="spellEnd"/>
            <w:r w:rsidRPr="008D1BF3">
              <w:rPr>
                <w:rFonts w:ascii="Times New Roman" w:hAnsi="Times New Roman"/>
                <w:bCs/>
                <w:sz w:val="18"/>
                <w:szCs w:val="18"/>
              </w:rPr>
              <w:t xml:space="preserve"> 2 </w:t>
            </w:r>
            <w:proofErr w:type="spellStart"/>
            <w:r w:rsidRPr="008D1BF3">
              <w:rPr>
                <w:rFonts w:ascii="Times New Roman" w:hAnsi="Times New Roman"/>
                <w:bCs/>
                <w:sz w:val="18"/>
                <w:szCs w:val="18"/>
              </w:rPr>
              <w:t>și</w:t>
            </w:r>
            <w:proofErr w:type="spellEnd"/>
            <w:r w:rsidRPr="008D1BF3">
              <w:rPr>
                <w:rFonts w:ascii="Times New Roman" w:hAnsi="Times New Roman"/>
                <w:bCs/>
                <w:sz w:val="18"/>
                <w:szCs w:val="18"/>
              </w:rPr>
              <w:t xml:space="preserve"> 3, </w:t>
            </w:r>
            <w:proofErr w:type="spellStart"/>
            <w:r w:rsidRPr="008D1BF3">
              <w:rPr>
                <w:rFonts w:ascii="Times New Roman" w:hAnsi="Times New Roman"/>
                <w:bCs/>
                <w:sz w:val="18"/>
                <w:szCs w:val="18"/>
              </w:rPr>
              <w:t>ajustările</w:t>
            </w:r>
            <w:proofErr w:type="spellEnd"/>
            <w:r w:rsidRPr="008D1BF3">
              <w:rPr>
                <w:rFonts w:ascii="Times New Roman" w:hAnsi="Times New Roman"/>
                <w:bCs/>
                <w:sz w:val="18"/>
                <w:szCs w:val="18"/>
              </w:rPr>
              <w:t xml:space="preserve"> generale </w:t>
            </w:r>
            <w:proofErr w:type="spellStart"/>
            <w:r w:rsidRPr="008D1BF3">
              <w:rPr>
                <w:rFonts w:ascii="Times New Roman" w:hAnsi="Times New Roman"/>
                <w:bCs/>
                <w:sz w:val="18"/>
                <w:szCs w:val="18"/>
              </w:rPr>
              <w:t>și</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specifice</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pentru</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riscul</w:t>
            </w:r>
            <w:proofErr w:type="spellEnd"/>
            <w:r w:rsidRPr="008D1BF3">
              <w:rPr>
                <w:rFonts w:ascii="Times New Roman" w:hAnsi="Times New Roman"/>
                <w:bCs/>
                <w:sz w:val="18"/>
                <w:szCs w:val="18"/>
              </w:rPr>
              <w:t xml:space="preserve"> de credit </w:t>
            </w:r>
            <w:proofErr w:type="spellStart"/>
            <w:r w:rsidRPr="008D1BF3">
              <w:rPr>
                <w:rFonts w:ascii="Times New Roman" w:hAnsi="Times New Roman"/>
                <w:bCs/>
                <w:sz w:val="18"/>
                <w:szCs w:val="18"/>
              </w:rPr>
              <w:t>exclud</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fondurile</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pentru</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riscuri</w:t>
            </w:r>
            <w:proofErr w:type="spellEnd"/>
            <w:r w:rsidRPr="008D1BF3">
              <w:rPr>
                <w:rFonts w:ascii="Times New Roman" w:hAnsi="Times New Roman"/>
                <w:bCs/>
                <w:sz w:val="18"/>
                <w:szCs w:val="18"/>
              </w:rPr>
              <w:t xml:space="preserve"> </w:t>
            </w:r>
            <w:proofErr w:type="spellStart"/>
            <w:r w:rsidRPr="008D1BF3">
              <w:rPr>
                <w:rFonts w:ascii="Times New Roman" w:hAnsi="Times New Roman"/>
                <w:bCs/>
                <w:sz w:val="18"/>
                <w:szCs w:val="18"/>
              </w:rPr>
              <w:t>bancare</w:t>
            </w:r>
            <w:proofErr w:type="spellEnd"/>
            <w:r w:rsidRPr="008D1BF3">
              <w:rPr>
                <w:rFonts w:ascii="Times New Roman" w:hAnsi="Times New Roman"/>
                <w:bCs/>
                <w:sz w:val="18"/>
                <w:szCs w:val="18"/>
              </w:rPr>
              <w:t xml:space="preserve"> generale.</w:t>
            </w:r>
          </w:p>
        </w:tc>
        <w:tc>
          <w:tcPr>
            <w:tcW w:w="3685" w:type="dxa"/>
            <w:shd w:val="clear" w:color="auto" w:fill="auto"/>
          </w:tcPr>
          <w:p w14:paraId="08D75EEC" w14:textId="6AEA1B70" w:rsidR="00775E84" w:rsidRPr="00775E84" w:rsidRDefault="00775E84" w:rsidP="00775E84">
            <w:pPr>
              <w:rPr>
                <w:sz w:val="16"/>
                <w:szCs w:val="16"/>
                <w:lang w:val="ro-MD" w:eastAsia="ro-MD"/>
              </w:rPr>
            </w:pPr>
            <w:r w:rsidRPr="00775E84">
              <w:rPr>
                <w:b/>
                <w:bCs/>
                <w:sz w:val="16"/>
                <w:szCs w:val="16"/>
                <w:lang w:val="ro-MD" w:eastAsia="ro-MD"/>
              </w:rPr>
              <w:t>4</w:t>
            </w:r>
            <w:r w:rsidRPr="00775E84">
              <w:rPr>
                <w:b/>
                <w:bCs/>
                <w:sz w:val="16"/>
                <w:szCs w:val="16"/>
                <w:vertAlign w:val="superscript"/>
                <w:lang w:val="ro-MD" w:eastAsia="ro-MD"/>
              </w:rPr>
              <w:t>1</w:t>
            </w:r>
            <w:r w:rsidRPr="00775E84">
              <w:rPr>
                <w:b/>
                <w:bCs/>
                <w:sz w:val="16"/>
                <w:szCs w:val="16"/>
                <w:lang w:val="ro-MD" w:eastAsia="ro-MD"/>
              </w:rPr>
              <w:t>.</w:t>
            </w:r>
            <w:r w:rsidRPr="00775E84">
              <w:rPr>
                <w:sz w:val="16"/>
                <w:szCs w:val="16"/>
                <w:lang w:val="ro-MD" w:eastAsia="ro-MD"/>
              </w:rPr>
              <w:t xml:space="preserve"> Băncile care aplică abordarea bazată pe modele interne de rating (</w:t>
            </w:r>
            <w:r w:rsidR="006D0DDF">
              <w:rPr>
                <w:sz w:val="16"/>
                <w:szCs w:val="16"/>
                <w:lang w:val="ro-MD" w:eastAsia="ro-MD"/>
              </w:rPr>
              <w:t xml:space="preserve">în continuare - </w:t>
            </w:r>
            <w:r w:rsidRPr="00775E84">
              <w:rPr>
                <w:sz w:val="16"/>
                <w:szCs w:val="16"/>
                <w:lang w:val="ro-MD" w:eastAsia="ro-MD"/>
              </w:rPr>
              <w:t>IRB) tratează ajustările generale pentru riscul de credit în conformitate cu tratamentul valorilor pierderilor așteptate al</w:t>
            </w:r>
            <w:r w:rsidR="002E23B7">
              <w:rPr>
                <w:sz w:val="16"/>
                <w:szCs w:val="16"/>
                <w:lang w:val="ro-MD" w:eastAsia="ro-MD"/>
              </w:rPr>
              <w:t>e</w:t>
            </w:r>
            <w:r w:rsidRPr="00775E84">
              <w:rPr>
                <w:sz w:val="16"/>
                <w:szCs w:val="16"/>
                <w:lang w:val="ro-MD" w:eastAsia="ro-MD"/>
              </w:rPr>
              <w:t xml:space="preserve"> deficitului conform abordării </w:t>
            </w:r>
            <w:r w:rsidR="006D0DDF">
              <w:rPr>
                <w:sz w:val="16"/>
                <w:szCs w:val="16"/>
                <w:lang w:val="ro-MD" w:eastAsia="ro-MD"/>
              </w:rPr>
              <w:t>IRB</w:t>
            </w:r>
            <w:r w:rsidRPr="00775E84">
              <w:rPr>
                <w:sz w:val="16"/>
                <w:szCs w:val="16"/>
                <w:lang w:val="ro-MD" w:eastAsia="ro-MD"/>
              </w:rPr>
              <w:t xml:space="preserve"> și al</w:t>
            </w:r>
            <w:r w:rsidR="002E23B7">
              <w:rPr>
                <w:sz w:val="16"/>
                <w:szCs w:val="16"/>
                <w:lang w:val="ro-MD" w:eastAsia="ro-MD"/>
              </w:rPr>
              <w:t>e</w:t>
            </w:r>
            <w:r w:rsidRPr="00775E84">
              <w:rPr>
                <w:sz w:val="16"/>
                <w:szCs w:val="16"/>
                <w:lang w:val="ro-MD" w:eastAsia="ro-MD"/>
              </w:rPr>
              <w:t xml:space="preserve"> excedentului conform </w:t>
            </w:r>
            <w:r w:rsidR="006D0DDF">
              <w:rPr>
                <w:sz w:val="16"/>
                <w:szCs w:val="16"/>
                <w:lang w:val="ro-MD" w:eastAsia="ro-MD"/>
              </w:rPr>
              <w:t>IRB</w:t>
            </w:r>
            <w:r w:rsidRPr="00775E84">
              <w:rPr>
                <w:sz w:val="16"/>
                <w:szCs w:val="16"/>
                <w:lang w:val="ro-MD" w:eastAsia="ro-MD"/>
              </w:rPr>
              <w:t xml:space="preserve">, precum și cu prevederile </w:t>
            </w:r>
            <w:r w:rsidR="006D0DDF">
              <w:rPr>
                <w:sz w:val="16"/>
                <w:szCs w:val="16"/>
                <w:lang w:val="ro-MD" w:eastAsia="ro-MD"/>
              </w:rPr>
              <w:t>reglementărilor aferente</w:t>
            </w:r>
            <w:r w:rsidRPr="00775E84">
              <w:rPr>
                <w:sz w:val="16"/>
                <w:szCs w:val="16"/>
                <w:lang w:val="ro-MD" w:eastAsia="ro-MD"/>
              </w:rPr>
              <w:t xml:space="preserve"> fonduril</w:t>
            </w:r>
            <w:r w:rsidR="006D0DDF">
              <w:rPr>
                <w:sz w:val="16"/>
                <w:szCs w:val="16"/>
                <w:lang w:val="ro-MD" w:eastAsia="ro-MD"/>
              </w:rPr>
              <w:t>or</w:t>
            </w:r>
            <w:r w:rsidRPr="00775E84">
              <w:rPr>
                <w:sz w:val="16"/>
                <w:szCs w:val="16"/>
                <w:lang w:val="ro-MD" w:eastAsia="ro-MD"/>
              </w:rPr>
              <w:t xml:space="preserve"> proprii ale băncilor </w:t>
            </w:r>
            <w:proofErr w:type="spellStart"/>
            <w:r w:rsidRPr="00775E84">
              <w:rPr>
                <w:sz w:val="16"/>
                <w:szCs w:val="16"/>
                <w:lang w:val="ro-MD" w:eastAsia="ro-MD"/>
              </w:rPr>
              <w:t>şi</w:t>
            </w:r>
            <w:proofErr w:type="spellEnd"/>
            <w:r w:rsidRPr="00775E84">
              <w:rPr>
                <w:sz w:val="16"/>
                <w:szCs w:val="16"/>
                <w:lang w:val="ro-MD" w:eastAsia="ro-MD"/>
              </w:rPr>
              <w:t xml:space="preserve"> </w:t>
            </w:r>
            <w:proofErr w:type="spellStart"/>
            <w:r w:rsidRPr="00775E84">
              <w:rPr>
                <w:sz w:val="16"/>
                <w:szCs w:val="16"/>
                <w:lang w:val="ro-MD" w:eastAsia="ro-MD"/>
              </w:rPr>
              <w:t>cerinţel</w:t>
            </w:r>
            <w:r w:rsidR="006D0DDF">
              <w:rPr>
                <w:sz w:val="16"/>
                <w:szCs w:val="16"/>
                <w:lang w:val="ro-MD" w:eastAsia="ro-MD"/>
              </w:rPr>
              <w:t>or</w:t>
            </w:r>
            <w:proofErr w:type="spellEnd"/>
            <w:r w:rsidRPr="00775E84">
              <w:rPr>
                <w:sz w:val="16"/>
                <w:szCs w:val="16"/>
                <w:lang w:val="ro-MD" w:eastAsia="ro-MD"/>
              </w:rPr>
              <w:t xml:space="preserve"> de capital.</w:t>
            </w:r>
          </w:p>
          <w:p w14:paraId="496137CF" w14:textId="7C47DBAD" w:rsidR="00775E84" w:rsidRPr="00775E84" w:rsidRDefault="00775E84" w:rsidP="00775E84">
            <w:pPr>
              <w:rPr>
                <w:sz w:val="16"/>
                <w:szCs w:val="16"/>
                <w:lang w:val="ro-MD" w:eastAsia="ro-MD"/>
              </w:rPr>
            </w:pPr>
            <w:r w:rsidRPr="00775E84">
              <w:rPr>
                <w:b/>
                <w:bCs/>
                <w:sz w:val="16"/>
                <w:szCs w:val="16"/>
                <w:lang w:val="ro-MD" w:eastAsia="ro-MD"/>
              </w:rPr>
              <w:t>4</w:t>
            </w:r>
            <w:r w:rsidRPr="00775E84">
              <w:rPr>
                <w:b/>
                <w:bCs/>
                <w:sz w:val="16"/>
                <w:szCs w:val="16"/>
                <w:vertAlign w:val="superscript"/>
                <w:lang w:val="ro-MD" w:eastAsia="ro-MD"/>
              </w:rPr>
              <w:t>2</w:t>
            </w:r>
            <w:r w:rsidRPr="00775E84">
              <w:rPr>
                <w:b/>
                <w:bCs/>
                <w:sz w:val="16"/>
                <w:szCs w:val="16"/>
                <w:lang w:val="ro-MD" w:eastAsia="ro-MD"/>
              </w:rPr>
              <w:t>.</w:t>
            </w:r>
            <w:r w:rsidRPr="00775E84">
              <w:rPr>
                <w:sz w:val="16"/>
                <w:szCs w:val="16"/>
                <w:lang w:val="ro-MD" w:eastAsia="ro-MD"/>
              </w:rPr>
              <w:t> </w:t>
            </w:r>
            <w:r w:rsidR="002E23B7">
              <w:rPr>
                <w:sz w:val="16"/>
                <w:szCs w:val="16"/>
                <w:lang w:val="ro-MD" w:eastAsia="ro-MD"/>
              </w:rPr>
              <w:t>Potrivit</w:t>
            </w:r>
            <w:r w:rsidRPr="00775E84">
              <w:rPr>
                <w:sz w:val="16"/>
                <w:szCs w:val="16"/>
                <w:lang w:val="ro-MD" w:eastAsia="ro-MD"/>
              </w:rPr>
              <w:t xml:space="preserve"> prezentului regulament</w:t>
            </w:r>
            <w:r w:rsidR="002E23B7">
              <w:rPr>
                <w:sz w:val="16"/>
                <w:szCs w:val="16"/>
                <w:lang w:val="ro-MD" w:eastAsia="ro-MD"/>
              </w:rPr>
              <w:t xml:space="preserve"> și</w:t>
            </w:r>
            <w:r w:rsidRPr="00775E84">
              <w:rPr>
                <w:sz w:val="16"/>
                <w:szCs w:val="16"/>
                <w:lang w:val="ro-MD" w:eastAsia="ro-MD"/>
              </w:rPr>
              <w:t xml:space="preserve"> Regulamentului nr.111/2018 cu privire la tratamentul riscului de credit pentru bănci potrivit abordării standardizate și a abordării </w:t>
            </w:r>
            <w:r w:rsidR="006D0DDF">
              <w:rPr>
                <w:sz w:val="16"/>
                <w:szCs w:val="16"/>
                <w:lang w:val="ro-MD" w:eastAsia="ro-MD"/>
              </w:rPr>
              <w:t>IRB</w:t>
            </w:r>
            <w:r w:rsidRPr="00775E84">
              <w:rPr>
                <w:sz w:val="16"/>
                <w:szCs w:val="16"/>
                <w:lang w:val="ro-MD" w:eastAsia="ro-MD"/>
              </w:rPr>
              <w:t>, ajustările generale și specifice pentru riscul de credit exclud fondurile pentru riscuri bancare generale.</w:t>
            </w:r>
          </w:p>
          <w:p w14:paraId="32851C42" w14:textId="77777777" w:rsidR="00643F80" w:rsidRDefault="00643F80" w:rsidP="00775E84">
            <w:pPr>
              <w:pStyle w:val="ListParagraph"/>
              <w:tabs>
                <w:tab w:val="left" w:pos="172"/>
              </w:tabs>
              <w:spacing w:after="160" w:line="259" w:lineRule="auto"/>
              <w:ind w:left="0"/>
              <w:rPr>
                <w:sz w:val="16"/>
                <w:szCs w:val="16"/>
                <w:lang w:val="ro-MD" w:eastAsia="en-US"/>
              </w:rPr>
            </w:pPr>
          </w:p>
          <w:p w14:paraId="206D25F0" w14:textId="35911073" w:rsidR="00775E84" w:rsidRPr="00775E84" w:rsidRDefault="00775E84" w:rsidP="00775E84">
            <w:pPr>
              <w:pStyle w:val="ListParagraph"/>
              <w:tabs>
                <w:tab w:val="left" w:pos="172"/>
              </w:tabs>
              <w:spacing w:after="160" w:line="259" w:lineRule="auto"/>
              <w:ind w:left="31"/>
              <w:rPr>
                <w:b/>
                <w:bCs/>
                <w:i/>
                <w:iCs/>
                <w:sz w:val="16"/>
                <w:szCs w:val="16"/>
                <w:lang w:val="ro-RO" w:eastAsia="en-US"/>
              </w:rPr>
            </w:pPr>
            <w:bookmarkStart w:id="0" w:name="_Hlk164133072"/>
            <w:r w:rsidRPr="00775E84">
              <w:rPr>
                <w:b/>
                <w:bCs/>
                <w:i/>
                <w:iCs/>
                <w:sz w:val="16"/>
                <w:szCs w:val="16"/>
                <w:lang w:val="ro-RO" w:eastAsia="en-US"/>
              </w:rPr>
              <w:t>Preveder</w:t>
            </w:r>
            <w:r w:rsidR="001D1CBF">
              <w:rPr>
                <w:b/>
                <w:bCs/>
                <w:i/>
                <w:iCs/>
                <w:sz w:val="16"/>
                <w:szCs w:val="16"/>
                <w:lang w:val="ro-RO" w:eastAsia="en-US"/>
              </w:rPr>
              <w:t>e</w:t>
            </w:r>
            <w:r w:rsidRPr="00775E84">
              <w:rPr>
                <w:b/>
                <w:bCs/>
                <w:i/>
                <w:iCs/>
                <w:sz w:val="16"/>
                <w:szCs w:val="16"/>
                <w:lang w:val="ro-RO" w:eastAsia="en-US"/>
              </w:rPr>
              <w:t xml:space="preserve"> no</w:t>
            </w:r>
            <w:r w:rsidR="001D1CBF">
              <w:rPr>
                <w:b/>
                <w:bCs/>
                <w:i/>
                <w:iCs/>
                <w:sz w:val="16"/>
                <w:szCs w:val="16"/>
                <w:lang w:val="ro-RO" w:eastAsia="en-US"/>
              </w:rPr>
              <w:t>uă</w:t>
            </w:r>
            <w:r w:rsidRPr="00775E84">
              <w:rPr>
                <w:b/>
                <w:bCs/>
                <w:i/>
                <w:iCs/>
                <w:sz w:val="16"/>
                <w:szCs w:val="16"/>
                <w:lang w:val="ro-RO" w:eastAsia="en-US"/>
              </w:rPr>
              <w:t xml:space="preserve"> </w:t>
            </w:r>
            <w:r w:rsidR="001D1CBF">
              <w:rPr>
                <w:b/>
                <w:bCs/>
                <w:i/>
                <w:iCs/>
                <w:sz w:val="16"/>
                <w:szCs w:val="16"/>
                <w:lang w:val="ro-RO" w:eastAsia="en-US"/>
              </w:rPr>
              <w:t>–</w:t>
            </w:r>
            <w:r w:rsidRPr="00775E84">
              <w:rPr>
                <w:b/>
                <w:bCs/>
                <w:i/>
                <w:iCs/>
                <w:sz w:val="16"/>
                <w:szCs w:val="16"/>
                <w:lang w:val="ro-RO" w:eastAsia="en-US"/>
              </w:rPr>
              <w:t xml:space="preserve"> </w:t>
            </w:r>
            <w:r w:rsidRPr="00775E84">
              <w:rPr>
                <w:sz w:val="16"/>
                <w:szCs w:val="16"/>
                <w:lang w:val="ro-MD" w:eastAsia="en-US"/>
              </w:rPr>
              <w:t>Inclus</w:t>
            </w:r>
            <w:r w:rsidR="001D1CBF">
              <w:rPr>
                <w:sz w:val="16"/>
                <w:szCs w:val="16"/>
                <w:lang w:val="ro-MD" w:eastAsia="en-US"/>
              </w:rPr>
              <w:t xml:space="preserve">ă </w:t>
            </w:r>
            <w:r w:rsidRPr="00775E84">
              <w:rPr>
                <w:sz w:val="16"/>
                <w:szCs w:val="16"/>
                <w:lang w:val="ro-MD" w:eastAsia="en-US"/>
              </w:rPr>
              <w:t xml:space="preserve">prin </w:t>
            </w:r>
            <w:r w:rsidRPr="00775E84">
              <w:rPr>
                <w:b/>
                <w:bCs/>
                <w:i/>
                <w:iCs/>
                <w:sz w:val="16"/>
                <w:szCs w:val="16"/>
                <w:lang w:val="ro-RO" w:eastAsia="en-US"/>
              </w:rPr>
              <w:t>Proiectul HCE al BNM de modificare a Regulamentului nr.11</w:t>
            </w:r>
            <w:r>
              <w:rPr>
                <w:b/>
                <w:bCs/>
                <w:i/>
                <w:iCs/>
                <w:sz w:val="16"/>
                <w:szCs w:val="16"/>
                <w:lang w:val="ro-RO" w:eastAsia="en-US"/>
              </w:rPr>
              <w:t>6</w:t>
            </w:r>
            <w:r w:rsidRPr="00775E84">
              <w:rPr>
                <w:b/>
                <w:bCs/>
                <w:i/>
                <w:iCs/>
                <w:sz w:val="16"/>
                <w:szCs w:val="16"/>
                <w:lang w:val="ro-RO" w:eastAsia="en-US"/>
              </w:rPr>
              <w:t>/2018.</w:t>
            </w:r>
            <w:bookmarkEnd w:id="0"/>
          </w:p>
          <w:p w14:paraId="7E99C2CC" w14:textId="698F40ED" w:rsidR="00775E84" w:rsidRPr="00775E84" w:rsidRDefault="00775E84" w:rsidP="00775E84">
            <w:pPr>
              <w:pStyle w:val="ListParagraph"/>
              <w:tabs>
                <w:tab w:val="left" w:pos="172"/>
              </w:tabs>
              <w:spacing w:after="160" w:line="259" w:lineRule="auto"/>
              <w:ind w:left="0"/>
              <w:rPr>
                <w:sz w:val="16"/>
                <w:szCs w:val="16"/>
                <w:lang w:val="ro-RO" w:eastAsia="en-US"/>
              </w:rPr>
            </w:pPr>
          </w:p>
        </w:tc>
        <w:tc>
          <w:tcPr>
            <w:tcW w:w="1229" w:type="dxa"/>
          </w:tcPr>
          <w:p w14:paraId="6BD3026B" w14:textId="4598C6E7" w:rsidR="00643F80" w:rsidRPr="003F5B3C" w:rsidRDefault="00D47212" w:rsidP="00B93C1C">
            <w:pPr>
              <w:jc w:val="both"/>
              <w:rPr>
                <w:sz w:val="18"/>
                <w:szCs w:val="18"/>
                <w:lang w:val="ro-MD"/>
              </w:rPr>
            </w:pPr>
            <w:r>
              <w:rPr>
                <w:sz w:val="18"/>
                <w:szCs w:val="18"/>
                <w:lang w:val="ro-MD"/>
              </w:rPr>
              <w:t>Compatibil.</w:t>
            </w:r>
          </w:p>
        </w:tc>
        <w:tc>
          <w:tcPr>
            <w:tcW w:w="5292" w:type="dxa"/>
            <w:tcBorders>
              <w:top w:val="single" w:sz="4" w:space="0" w:color="auto"/>
              <w:bottom w:val="single" w:sz="4" w:space="0" w:color="auto"/>
            </w:tcBorders>
          </w:tcPr>
          <w:p w14:paraId="1910BBE2" w14:textId="77777777" w:rsidR="00643F80" w:rsidRPr="003F5B3C" w:rsidRDefault="00643F80" w:rsidP="001A4DE8">
            <w:pPr>
              <w:rPr>
                <w:sz w:val="18"/>
                <w:szCs w:val="18"/>
                <w:lang w:val="ro-MD"/>
              </w:rPr>
            </w:pPr>
          </w:p>
        </w:tc>
      </w:tr>
      <w:tr w:rsidR="0037189C" w:rsidRPr="00775E84" w14:paraId="0510AD00" w14:textId="77777777" w:rsidTr="00DB5AA7">
        <w:trPr>
          <w:trHeight w:val="569"/>
        </w:trPr>
        <w:tc>
          <w:tcPr>
            <w:tcW w:w="4253" w:type="dxa"/>
          </w:tcPr>
          <w:p w14:paraId="040D150F" w14:textId="6CE435C1" w:rsidR="0037189C" w:rsidRDefault="008D1BF3" w:rsidP="00024F5D">
            <w:pPr>
              <w:rPr>
                <w:bCs/>
                <w:sz w:val="18"/>
                <w:szCs w:val="18"/>
                <w:lang w:val="en-US"/>
              </w:rPr>
            </w:pPr>
            <w:r w:rsidRPr="008D1BF3">
              <w:rPr>
                <w:bCs/>
                <w:sz w:val="18"/>
                <w:szCs w:val="18"/>
                <w:lang w:val="en-US"/>
              </w:rPr>
              <w:t xml:space="preserve">(3) </w:t>
            </w:r>
            <w:proofErr w:type="spellStart"/>
            <w:r w:rsidRPr="008D1BF3">
              <w:rPr>
                <w:bCs/>
                <w:sz w:val="18"/>
                <w:szCs w:val="18"/>
                <w:lang w:val="en-US"/>
              </w:rPr>
              <w:t>Instituţiile</w:t>
            </w:r>
            <w:proofErr w:type="spellEnd"/>
            <w:r w:rsidRPr="008D1BF3">
              <w:rPr>
                <w:bCs/>
                <w:sz w:val="18"/>
                <w:szCs w:val="18"/>
                <w:lang w:val="en-US"/>
              </w:rPr>
              <w:t xml:space="preserve"> care </w:t>
            </w:r>
            <w:proofErr w:type="spellStart"/>
            <w:r w:rsidRPr="008D1BF3">
              <w:rPr>
                <w:bCs/>
                <w:sz w:val="18"/>
                <w:szCs w:val="18"/>
                <w:lang w:val="en-US"/>
              </w:rPr>
              <w:t>utilizează</w:t>
            </w:r>
            <w:proofErr w:type="spellEnd"/>
            <w:r w:rsidRPr="008D1BF3">
              <w:rPr>
                <w:bCs/>
                <w:sz w:val="18"/>
                <w:szCs w:val="18"/>
                <w:lang w:val="en-US"/>
              </w:rPr>
              <w:t xml:space="preserve"> </w:t>
            </w:r>
            <w:proofErr w:type="spellStart"/>
            <w:r w:rsidRPr="008D1BF3">
              <w:rPr>
                <w:bCs/>
                <w:sz w:val="18"/>
                <w:szCs w:val="18"/>
                <w:lang w:val="en-US"/>
              </w:rPr>
              <w:t>abordarea</w:t>
            </w:r>
            <w:proofErr w:type="spellEnd"/>
            <w:r w:rsidRPr="008D1BF3">
              <w:rPr>
                <w:bCs/>
                <w:sz w:val="18"/>
                <w:szCs w:val="18"/>
                <w:lang w:val="en-US"/>
              </w:rPr>
              <w:t xml:space="preserve"> </w:t>
            </w:r>
            <w:proofErr w:type="spellStart"/>
            <w:r w:rsidRPr="008D1BF3">
              <w:rPr>
                <w:bCs/>
                <w:sz w:val="18"/>
                <w:szCs w:val="18"/>
                <w:lang w:val="en-US"/>
              </w:rPr>
              <w:t>bazată</w:t>
            </w:r>
            <w:proofErr w:type="spellEnd"/>
            <w:r w:rsidRPr="008D1BF3">
              <w:rPr>
                <w:bCs/>
                <w:sz w:val="18"/>
                <w:szCs w:val="18"/>
                <w:lang w:val="en-US"/>
              </w:rPr>
              <w:t xml:space="preserve"> pe </w:t>
            </w:r>
            <w:proofErr w:type="spellStart"/>
            <w:r w:rsidR="00DB5AA7">
              <w:rPr>
                <w:bCs/>
                <w:sz w:val="18"/>
                <w:szCs w:val="18"/>
                <w:lang w:val="en-US"/>
              </w:rPr>
              <w:t>m</w:t>
            </w:r>
            <w:r w:rsidRPr="008D1BF3">
              <w:rPr>
                <w:bCs/>
                <w:sz w:val="18"/>
                <w:szCs w:val="18"/>
                <w:lang w:val="en-US"/>
              </w:rPr>
              <w:t>odele</w:t>
            </w:r>
            <w:proofErr w:type="spellEnd"/>
            <w:r w:rsidRPr="008D1BF3">
              <w:rPr>
                <w:bCs/>
                <w:sz w:val="18"/>
                <w:szCs w:val="18"/>
                <w:lang w:val="en-US"/>
              </w:rPr>
              <w:t xml:space="preserve"> interne de rating </w:t>
            </w:r>
            <w:proofErr w:type="spellStart"/>
            <w:r w:rsidRPr="008D1BF3">
              <w:rPr>
                <w:bCs/>
                <w:sz w:val="18"/>
                <w:szCs w:val="18"/>
                <w:lang w:val="en-US"/>
              </w:rPr>
              <w:t>și</w:t>
            </w:r>
            <w:proofErr w:type="spellEnd"/>
            <w:r w:rsidRPr="008D1BF3">
              <w:rPr>
                <w:bCs/>
                <w:sz w:val="18"/>
                <w:szCs w:val="18"/>
                <w:lang w:val="en-US"/>
              </w:rPr>
              <w:t xml:space="preserve"> care </w:t>
            </w:r>
            <w:proofErr w:type="spellStart"/>
            <w:r w:rsidRPr="008D1BF3">
              <w:rPr>
                <w:bCs/>
                <w:sz w:val="18"/>
                <w:szCs w:val="18"/>
                <w:lang w:val="en-US"/>
              </w:rPr>
              <w:t>aplică</w:t>
            </w:r>
            <w:proofErr w:type="spellEnd"/>
            <w:r w:rsidRPr="008D1BF3">
              <w:rPr>
                <w:bCs/>
                <w:sz w:val="18"/>
                <w:szCs w:val="18"/>
                <w:lang w:val="en-US"/>
              </w:rPr>
              <w:t xml:space="preserve"> </w:t>
            </w:r>
            <w:proofErr w:type="spellStart"/>
            <w:r w:rsidRPr="008D1BF3">
              <w:rPr>
                <w:bCs/>
                <w:sz w:val="18"/>
                <w:szCs w:val="18"/>
                <w:lang w:val="en-US"/>
              </w:rPr>
              <w:t>abordarea</w:t>
            </w:r>
            <w:proofErr w:type="spellEnd"/>
            <w:r w:rsidRPr="008D1BF3">
              <w:rPr>
                <w:bCs/>
                <w:sz w:val="18"/>
                <w:szCs w:val="18"/>
                <w:lang w:val="en-US"/>
              </w:rPr>
              <w:t xml:space="preserve"> </w:t>
            </w:r>
            <w:proofErr w:type="spellStart"/>
            <w:r w:rsidRPr="008D1BF3">
              <w:rPr>
                <w:bCs/>
                <w:sz w:val="18"/>
                <w:szCs w:val="18"/>
                <w:lang w:val="en-US"/>
              </w:rPr>
              <w:t>standardizată</w:t>
            </w:r>
            <w:proofErr w:type="spellEnd"/>
            <w:r w:rsidRPr="008D1BF3">
              <w:rPr>
                <w:bCs/>
                <w:sz w:val="18"/>
                <w:szCs w:val="18"/>
                <w:lang w:val="en-US"/>
              </w:rPr>
              <w:t xml:space="preserve"> </w:t>
            </w:r>
            <w:proofErr w:type="spellStart"/>
            <w:r w:rsidRPr="008D1BF3">
              <w:rPr>
                <w:bCs/>
                <w:sz w:val="18"/>
                <w:szCs w:val="18"/>
                <w:lang w:val="en-US"/>
              </w:rPr>
              <w:t>pentru</w:t>
            </w:r>
            <w:proofErr w:type="spellEnd"/>
            <w:r w:rsidRPr="008D1BF3">
              <w:rPr>
                <w:bCs/>
                <w:sz w:val="18"/>
                <w:szCs w:val="18"/>
                <w:lang w:val="en-US"/>
              </w:rPr>
              <w:t xml:space="preserve"> o </w:t>
            </w:r>
            <w:proofErr w:type="spellStart"/>
            <w:r w:rsidRPr="008D1BF3">
              <w:rPr>
                <w:bCs/>
                <w:sz w:val="18"/>
                <w:szCs w:val="18"/>
                <w:lang w:val="en-US"/>
              </w:rPr>
              <w:t>parte</w:t>
            </w:r>
            <w:proofErr w:type="spellEnd"/>
            <w:r w:rsidRPr="008D1BF3">
              <w:rPr>
                <w:bCs/>
                <w:sz w:val="18"/>
                <w:szCs w:val="18"/>
                <w:lang w:val="en-US"/>
              </w:rPr>
              <w:t xml:space="preserve"> din </w:t>
            </w:r>
            <w:proofErr w:type="spellStart"/>
            <w:r w:rsidRPr="008D1BF3">
              <w:rPr>
                <w:bCs/>
                <w:sz w:val="18"/>
                <w:szCs w:val="18"/>
                <w:lang w:val="en-US"/>
              </w:rPr>
              <w:t>expunerile</w:t>
            </w:r>
            <w:proofErr w:type="spellEnd"/>
            <w:r w:rsidRPr="008D1BF3">
              <w:rPr>
                <w:bCs/>
                <w:sz w:val="18"/>
                <w:szCs w:val="18"/>
                <w:lang w:val="en-US"/>
              </w:rPr>
              <w:t xml:space="preserve"> lor, pe </w:t>
            </w:r>
            <w:proofErr w:type="spellStart"/>
            <w:r w:rsidRPr="008D1BF3">
              <w:rPr>
                <w:bCs/>
                <w:sz w:val="18"/>
                <w:szCs w:val="18"/>
                <w:lang w:val="en-US"/>
              </w:rPr>
              <w:t>bază</w:t>
            </w:r>
            <w:proofErr w:type="spellEnd"/>
            <w:r w:rsidRPr="008D1BF3">
              <w:rPr>
                <w:bCs/>
                <w:sz w:val="18"/>
                <w:szCs w:val="18"/>
                <w:lang w:val="en-US"/>
              </w:rPr>
              <w:t xml:space="preserve"> </w:t>
            </w:r>
            <w:proofErr w:type="spellStart"/>
            <w:r w:rsidRPr="008D1BF3">
              <w:rPr>
                <w:bCs/>
                <w:sz w:val="18"/>
                <w:szCs w:val="18"/>
                <w:lang w:val="en-US"/>
              </w:rPr>
              <w:t>consolidată</w:t>
            </w:r>
            <w:proofErr w:type="spellEnd"/>
            <w:r w:rsidRPr="008D1BF3">
              <w:rPr>
                <w:bCs/>
                <w:sz w:val="18"/>
                <w:szCs w:val="18"/>
                <w:lang w:val="en-US"/>
              </w:rPr>
              <w:t xml:space="preserve"> </w:t>
            </w:r>
            <w:proofErr w:type="spellStart"/>
            <w:r w:rsidRPr="008D1BF3">
              <w:rPr>
                <w:bCs/>
                <w:sz w:val="18"/>
                <w:szCs w:val="18"/>
                <w:lang w:val="en-US"/>
              </w:rPr>
              <w:t>sau</w:t>
            </w:r>
            <w:proofErr w:type="spellEnd"/>
            <w:r w:rsidRPr="008D1BF3">
              <w:rPr>
                <w:bCs/>
                <w:sz w:val="18"/>
                <w:szCs w:val="18"/>
                <w:lang w:val="en-US"/>
              </w:rPr>
              <w:t xml:space="preserve"> </w:t>
            </w:r>
            <w:proofErr w:type="spellStart"/>
            <w:r w:rsidRPr="008D1BF3">
              <w:rPr>
                <w:bCs/>
                <w:sz w:val="18"/>
                <w:szCs w:val="18"/>
                <w:lang w:val="en-US"/>
              </w:rPr>
              <w:t>individuală</w:t>
            </w:r>
            <w:proofErr w:type="spellEnd"/>
            <w:r w:rsidRPr="008D1BF3">
              <w:rPr>
                <w:bCs/>
                <w:sz w:val="18"/>
                <w:szCs w:val="18"/>
                <w:lang w:val="en-US"/>
              </w:rPr>
              <w:t xml:space="preserve">, </w:t>
            </w:r>
            <w:proofErr w:type="spellStart"/>
            <w:r w:rsidRPr="008D1BF3">
              <w:rPr>
                <w:bCs/>
                <w:sz w:val="18"/>
                <w:szCs w:val="18"/>
                <w:lang w:val="en-US"/>
              </w:rPr>
              <w:t>în</w:t>
            </w:r>
            <w:proofErr w:type="spellEnd"/>
            <w:r w:rsidRPr="008D1BF3">
              <w:rPr>
                <w:bCs/>
                <w:sz w:val="18"/>
                <w:szCs w:val="18"/>
                <w:lang w:val="en-US"/>
              </w:rPr>
              <w:t xml:space="preserve"> </w:t>
            </w:r>
            <w:proofErr w:type="spellStart"/>
            <w:r w:rsidRPr="008D1BF3">
              <w:rPr>
                <w:bCs/>
                <w:sz w:val="18"/>
                <w:szCs w:val="18"/>
                <w:lang w:val="en-US"/>
              </w:rPr>
              <w:t>conformitate</w:t>
            </w:r>
            <w:proofErr w:type="spellEnd"/>
            <w:r w:rsidRPr="008D1BF3">
              <w:rPr>
                <w:bCs/>
                <w:sz w:val="18"/>
                <w:szCs w:val="18"/>
                <w:lang w:val="en-US"/>
              </w:rPr>
              <w:t xml:space="preserve"> cu </w:t>
            </w:r>
            <w:proofErr w:type="spellStart"/>
            <w:r w:rsidRPr="008D1BF3">
              <w:rPr>
                <w:bCs/>
                <w:sz w:val="18"/>
                <w:szCs w:val="18"/>
                <w:lang w:val="en-US"/>
              </w:rPr>
              <w:t>articolele</w:t>
            </w:r>
            <w:proofErr w:type="spellEnd"/>
            <w:r w:rsidRPr="008D1BF3">
              <w:rPr>
                <w:bCs/>
                <w:sz w:val="18"/>
                <w:szCs w:val="18"/>
                <w:lang w:val="en-US"/>
              </w:rPr>
              <w:t xml:space="preserve"> 148 </w:t>
            </w:r>
            <w:proofErr w:type="spellStart"/>
            <w:r w:rsidRPr="008D1BF3">
              <w:rPr>
                <w:bCs/>
                <w:sz w:val="18"/>
                <w:szCs w:val="18"/>
                <w:lang w:val="en-US"/>
              </w:rPr>
              <w:t>și</w:t>
            </w:r>
            <w:proofErr w:type="spellEnd"/>
            <w:r w:rsidRPr="008D1BF3">
              <w:rPr>
                <w:bCs/>
                <w:sz w:val="18"/>
                <w:szCs w:val="18"/>
                <w:lang w:val="en-US"/>
              </w:rPr>
              <w:t xml:space="preserve"> 150, </w:t>
            </w:r>
            <w:proofErr w:type="spellStart"/>
            <w:r w:rsidRPr="008D1BF3">
              <w:rPr>
                <w:bCs/>
                <w:sz w:val="18"/>
                <w:szCs w:val="18"/>
                <w:lang w:val="en-US"/>
              </w:rPr>
              <w:t>stabilesc</w:t>
            </w:r>
            <w:proofErr w:type="spellEnd"/>
            <w:r w:rsidRPr="008D1BF3">
              <w:rPr>
                <w:bCs/>
                <w:sz w:val="18"/>
                <w:szCs w:val="18"/>
                <w:lang w:val="en-US"/>
              </w:rPr>
              <w:t xml:space="preserve"> </w:t>
            </w:r>
            <w:proofErr w:type="spellStart"/>
            <w:r w:rsidRPr="008D1BF3">
              <w:rPr>
                <w:bCs/>
                <w:sz w:val="18"/>
                <w:szCs w:val="18"/>
                <w:lang w:val="en-US"/>
              </w:rPr>
              <w:t>partea</w:t>
            </w:r>
            <w:proofErr w:type="spellEnd"/>
            <w:r w:rsidRPr="008D1BF3">
              <w:rPr>
                <w:bCs/>
                <w:sz w:val="18"/>
                <w:szCs w:val="18"/>
                <w:lang w:val="en-US"/>
              </w:rPr>
              <w:t xml:space="preserve"> </w:t>
            </w:r>
            <w:proofErr w:type="spellStart"/>
            <w:r w:rsidRPr="008D1BF3">
              <w:rPr>
                <w:bCs/>
                <w:sz w:val="18"/>
                <w:szCs w:val="18"/>
                <w:lang w:val="en-US"/>
              </w:rPr>
              <w:t>ajustării</w:t>
            </w:r>
            <w:proofErr w:type="spellEnd"/>
            <w:r w:rsidRPr="008D1BF3">
              <w:rPr>
                <w:bCs/>
                <w:sz w:val="18"/>
                <w:szCs w:val="18"/>
                <w:lang w:val="en-US"/>
              </w:rPr>
              <w:t xml:space="preserve"> generale </w:t>
            </w:r>
            <w:proofErr w:type="spellStart"/>
            <w:r w:rsidRPr="008D1BF3">
              <w:rPr>
                <w:bCs/>
                <w:sz w:val="18"/>
                <w:szCs w:val="18"/>
                <w:lang w:val="en-US"/>
              </w:rPr>
              <w:t>pentru</w:t>
            </w:r>
            <w:proofErr w:type="spellEnd"/>
            <w:r w:rsidRPr="008D1BF3">
              <w:rPr>
                <w:bCs/>
                <w:sz w:val="18"/>
                <w:szCs w:val="18"/>
                <w:lang w:val="en-US"/>
              </w:rPr>
              <w:t xml:space="preserve"> </w:t>
            </w:r>
            <w:proofErr w:type="spellStart"/>
            <w:r w:rsidRPr="008D1BF3">
              <w:rPr>
                <w:bCs/>
                <w:sz w:val="18"/>
                <w:szCs w:val="18"/>
                <w:lang w:val="en-US"/>
              </w:rPr>
              <w:t>riscul</w:t>
            </w:r>
            <w:proofErr w:type="spellEnd"/>
            <w:r w:rsidRPr="008D1BF3">
              <w:rPr>
                <w:bCs/>
                <w:sz w:val="18"/>
                <w:szCs w:val="18"/>
                <w:lang w:val="en-US"/>
              </w:rPr>
              <w:t xml:space="preserve"> de credit care </w:t>
            </w:r>
            <w:proofErr w:type="spellStart"/>
            <w:r w:rsidRPr="008D1BF3">
              <w:rPr>
                <w:bCs/>
                <w:sz w:val="18"/>
                <w:szCs w:val="18"/>
                <w:lang w:val="en-US"/>
              </w:rPr>
              <w:t>trebuie</w:t>
            </w:r>
            <w:proofErr w:type="spellEnd"/>
            <w:r w:rsidRPr="008D1BF3">
              <w:rPr>
                <w:bCs/>
                <w:sz w:val="18"/>
                <w:szCs w:val="18"/>
                <w:lang w:val="en-US"/>
              </w:rPr>
              <w:t xml:space="preserve"> </w:t>
            </w:r>
            <w:proofErr w:type="spellStart"/>
            <w:r w:rsidRPr="008D1BF3">
              <w:rPr>
                <w:bCs/>
                <w:sz w:val="18"/>
                <w:szCs w:val="18"/>
                <w:lang w:val="en-US"/>
              </w:rPr>
              <w:t>supusă</w:t>
            </w:r>
            <w:proofErr w:type="spellEnd"/>
            <w:r w:rsidRPr="008D1BF3">
              <w:rPr>
                <w:bCs/>
                <w:sz w:val="18"/>
                <w:szCs w:val="18"/>
                <w:lang w:val="en-US"/>
              </w:rPr>
              <w:t xml:space="preserve"> </w:t>
            </w:r>
            <w:proofErr w:type="spellStart"/>
            <w:r w:rsidRPr="008D1BF3">
              <w:rPr>
                <w:bCs/>
                <w:sz w:val="18"/>
                <w:szCs w:val="18"/>
                <w:lang w:val="en-US"/>
              </w:rPr>
              <w:t>tratamentului</w:t>
            </w:r>
            <w:proofErr w:type="spellEnd"/>
            <w:r w:rsidRPr="008D1BF3">
              <w:rPr>
                <w:bCs/>
                <w:sz w:val="18"/>
                <w:szCs w:val="18"/>
                <w:lang w:val="en-US"/>
              </w:rPr>
              <w:t xml:space="preserve"> </w:t>
            </w:r>
            <w:proofErr w:type="spellStart"/>
            <w:r w:rsidRPr="008D1BF3">
              <w:rPr>
                <w:bCs/>
                <w:sz w:val="18"/>
                <w:szCs w:val="18"/>
                <w:lang w:val="en-US"/>
              </w:rPr>
              <w:t>ajustării</w:t>
            </w:r>
            <w:proofErr w:type="spellEnd"/>
            <w:r w:rsidRPr="008D1BF3">
              <w:rPr>
                <w:bCs/>
                <w:sz w:val="18"/>
                <w:szCs w:val="18"/>
                <w:lang w:val="en-US"/>
              </w:rPr>
              <w:t xml:space="preserve"> generale </w:t>
            </w:r>
            <w:proofErr w:type="spellStart"/>
            <w:r w:rsidRPr="008D1BF3">
              <w:rPr>
                <w:bCs/>
                <w:sz w:val="18"/>
                <w:szCs w:val="18"/>
                <w:lang w:val="en-US"/>
              </w:rPr>
              <w:t>pentru</w:t>
            </w:r>
            <w:proofErr w:type="spellEnd"/>
            <w:r w:rsidRPr="008D1BF3">
              <w:rPr>
                <w:bCs/>
                <w:sz w:val="18"/>
                <w:szCs w:val="18"/>
                <w:lang w:val="en-US"/>
              </w:rPr>
              <w:t xml:space="preserve"> </w:t>
            </w:r>
            <w:proofErr w:type="spellStart"/>
            <w:r w:rsidRPr="008D1BF3">
              <w:rPr>
                <w:bCs/>
                <w:sz w:val="18"/>
                <w:szCs w:val="18"/>
                <w:lang w:val="en-US"/>
              </w:rPr>
              <w:t>riscul</w:t>
            </w:r>
            <w:proofErr w:type="spellEnd"/>
            <w:r w:rsidRPr="008D1BF3">
              <w:rPr>
                <w:bCs/>
                <w:sz w:val="18"/>
                <w:szCs w:val="18"/>
                <w:lang w:val="en-US"/>
              </w:rPr>
              <w:t xml:space="preserve"> de credit conform </w:t>
            </w:r>
            <w:proofErr w:type="spellStart"/>
            <w:r w:rsidRPr="008D1BF3">
              <w:rPr>
                <w:bCs/>
                <w:sz w:val="18"/>
                <w:szCs w:val="18"/>
                <w:lang w:val="en-US"/>
              </w:rPr>
              <w:t>abordării</w:t>
            </w:r>
            <w:proofErr w:type="spellEnd"/>
            <w:r w:rsidRPr="008D1BF3">
              <w:rPr>
                <w:bCs/>
                <w:sz w:val="18"/>
                <w:szCs w:val="18"/>
                <w:lang w:val="en-US"/>
              </w:rPr>
              <w:t xml:space="preserve"> </w:t>
            </w:r>
            <w:proofErr w:type="spellStart"/>
            <w:r w:rsidRPr="008D1BF3">
              <w:rPr>
                <w:bCs/>
                <w:sz w:val="18"/>
                <w:szCs w:val="18"/>
                <w:lang w:val="en-US"/>
              </w:rPr>
              <w:t>standardizată</w:t>
            </w:r>
            <w:proofErr w:type="spellEnd"/>
            <w:r w:rsidRPr="008D1BF3">
              <w:rPr>
                <w:bCs/>
                <w:sz w:val="18"/>
                <w:szCs w:val="18"/>
                <w:lang w:val="en-US"/>
              </w:rPr>
              <w:t xml:space="preserve"> </w:t>
            </w:r>
            <w:proofErr w:type="spellStart"/>
            <w:r w:rsidRPr="008D1BF3">
              <w:rPr>
                <w:bCs/>
                <w:sz w:val="18"/>
                <w:szCs w:val="18"/>
                <w:lang w:val="en-US"/>
              </w:rPr>
              <w:t>și</w:t>
            </w:r>
            <w:proofErr w:type="spellEnd"/>
            <w:r w:rsidRPr="008D1BF3">
              <w:rPr>
                <w:bCs/>
                <w:sz w:val="18"/>
                <w:szCs w:val="18"/>
                <w:lang w:val="en-US"/>
              </w:rPr>
              <w:t xml:space="preserve"> </w:t>
            </w:r>
            <w:proofErr w:type="spellStart"/>
            <w:r w:rsidRPr="008D1BF3">
              <w:rPr>
                <w:bCs/>
                <w:sz w:val="18"/>
                <w:szCs w:val="18"/>
                <w:lang w:val="en-US"/>
              </w:rPr>
              <w:t>cea</w:t>
            </w:r>
            <w:proofErr w:type="spellEnd"/>
            <w:r w:rsidRPr="008D1BF3">
              <w:rPr>
                <w:bCs/>
                <w:sz w:val="18"/>
                <w:szCs w:val="18"/>
                <w:lang w:val="en-US"/>
              </w:rPr>
              <w:t xml:space="preserve"> </w:t>
            </w:r>
            <w:proofErr w:type="spellStart"/>
            <w:r w:rsidRPr="008D1BF3">
              <w:rPr>
                <w:bCs/>
                <w:sz w:val="18"/>
                <w:szCs w:val="18"/>
                <w:lang w:val="en-US"/>
              </w:rPr>
              <w:t>supusă</w:t>
            </w:r>
            <w:proofErr w:type="spellEnd"/>
            <w:r w:rsidRPr="008D1BF3">
              <w:rPr>
                <w:bCs/>
                <w:sz w:val="18"/>
                <w:szCs w:val="18"/>
                <w:lang w:val="en-US"/>
              </w:rPr>
              <w:t xml:space="preserve"> </w:t>
            </w:r>
            <w:proofErr w:type="spellStart"/>
            <w:r w:rsidRPr="008D1BF3">
              <w:rPr>
                <w:bCs/>
                <w:sz w:val="18"/>
                <w:szCs w:val="18"/>
                <w:lang w:val="en-US"/>
              </w:rPr>
              <w:t>tratamentului</w:t>
            </w:r>
            <w:proofErr w:type="spellEnd"/>
            <w:r w:rsidRPr="008D1BF3">
              <w:rPr>
                <w:bCs/>
                <w:sz w:val="18"/>
                <w:szCs w:val="18"/>
                <w:lang w:val="en-US"/>
              </w:rPr>
              <w:t xml:space="preserve"> </w:t>
            </w:r>
            <w:proofErr w:type="spellStart"/>
            <w:r w:rsidRPr="008D1BF3">
              <w:rPr>
                <w:bCs/>
                <w:sz w:val="18"/>
                <w:szCs w:val="18"/>
                <w:lang w:val="en-US"/>
              </w:rPr>
              <w:t>ajustării</w:t>
            </w:r>
            <w:proofErr w:type="spellEnd"/>
            <w:r w:rsidRPr="008D1BF3">
              <w:rPr>
                <w:bCs/>
                <w:sz w:val="18"/>
                <w:szCs w:val="18"/>
                <w:lang w:val="en-US"/>
              </w:rPr>
              <w:t xml:space="preserve"> generale </w:t>
            </w:r>
            <w:proofErr w:type="spellStart"/>
            <w:r w:rsidRPr="008D1BF3">
              <w:rPr>
                <w:bCs/>
                <w:sz w:val="18"/>
                <w:szCs w:val="18"/>
                <w:lang w:val="en-US"/>
              </w:rPr>
              <w:t>pentru</w:t>
            </w:r>
            <w:proofErr w:type="spellEnd"/>
            <w:r w:rsidRPr="008D1BF3">
              <w:rPr>
                <w:bCs/>
                <w:sz w:val="18"/>
                <w:szCs w:val="18"/>
                <w:lang w:val="en-US"/>
              </w:rPr>
              <w:t xml:space="preserve"> </w:t>
            </w:r>
            <w:proofErr w:type="spellStart"/>
            <w:r w:rsidRPr="008D1BF3">
              <w:rPr>
                <w:bCs/>
                <w:sz w:val="18"/>
                <w:szCs w:val="18"/>
                <w:lang w:val="en-US"/>
              </w:rPr>
              <w:t>riscul</w:t>
            </w:r>
            <w:proofErr w:type="spellEnd"/>
            <w:r w:rsidRPr="008D1BF3">
              <w:rPr>
                <w:bCs/>
                <w:sz w:val="18"/>
                <w:szCs w:val="18"/>
                <w:lang w:val="en-US"/>
              </w:rPr>
              <w:t xml:space="preserve"> de credit conform </w:t>
            </w:r>
            <w:proofErr w:type="spellStart"/>
            <w:r w:rsidRPr="008D1BF3">
              <w:rPr>
                <w:bCs/>
                <w:sz w:val="18"/>
                <w:szCs w:val="18"/>
                <w:lang w:val="en-US"/>
              </w:rPr>
              <w:t>abordării</w:t>
            </w:r>
            <w:proofErr w:type="spellEnd"/>
            <w:r w:rsidRPr="008D1BF3">
              <w:rPr>
                <w:bCs/>
                <w:sz w:val="18"/>
                <w:szCs w:val="18"/>
                <w:lang w:val="en-US"/>
              </w:rPr>
              <w:t xml:space="preserve"> IRB, </w:t>
            </w:r>
            <w:proofErr w:type="spellStart"/>
            <w:r w:rsidRPr="008D1BF3">
              <w:rPr>
                <w:bCs/>
                <w:sz w:val="18"/>
                <w:szCs w:val="18"/>
                <w:lang w:val="en-US"/>
              </w:rPr>
              <w:t>după</w:t>
            </w:r>
            <w:proofErr w:type="spellEnd"/>
            <w:r w:rsidRPr="008D1BF3">
              <w:rPr>
                <w:bCs/>
                <w:sz w:val="18"/>
                <w:szCs w:val="18"/>
                <w:lang w:val="en-US"/>
              </w:rPr>
              <w:t xml:space="preserve"> cum </w:t>
            </w:r>
            <w:proofErr w:type="spellStart"/>
            <w:r w:rsidRPr="008D1BF3">
              <w:rPr>
                <w:bCs/>
                <w:sz w:val="18"/>
                <w:szCs w:val="18"/>
                <w:lang w:val="en-US"/>
              </w:rPr>
              <w:t>urmează</w:t>
            </w:r>
            <w:proofErr w:type="spellEnd"/>
            <w:r w:rsidRPr="008D1BF3">
              <w:rPr>
                <w:bCs/>
                <w:sz w:val="18"/>
                <w:szCs w:val="18"/>
                <w:lang w:val="en-US"/>
              </w:rPr>
              <w:t>:</w:t>
            </w:r>
          </w:p>
          <w:p w14:paraId="22001740" w14:textId="09EF16D7" w:rsidR="008D1BF3" w:rsidRDefault="008D1BF3" w:rsidP="00024F5D">
            <w:pPr>
              <w:rPr>
                <w:bCs/>
                <w:sz w:val="18"/>
                <w:szCs w:val="18"/>
                <w:lang w:val="ro-MD"/>
              </w:rPr>
            </w:pPr>
            <w:r w:rsidRPr="008D1BF3">
              <w:rPr>
                <w:bCs/>
                <w:sz w:val="18"/>
                <w:szCs w:val="18"/>
                <w:lang w:val="en-US"/>
              </w:rPr>
              <w:t xml:space="preserve">(a) </w:t>
            </w:r>
            <w:proofErr w:type="spellStart"/>
            <w:r w:rsidRPr="008D1BF3">
              <w:rPr>
                <w:bCs/>
                <w:sz w:val="18"/>
                <w:szCs w:val="18"/>
                <w:lang w:val="en-US"/>
              </w:rPr>
              <w:t>dacă</w:t>
            </w:r>
            <w:proofErr w:type="spellEnd"/>
            <w:r w:rsidRPr="008D1BF3">
              <w:rPr>
                <w:bCs/>
                <w:sz w:val="18"/>
                <w:szCs w:val="18"/>
                <w:lang w:val="en-US"/>
              </w:rPr>
              <w:t xml:space="preserve"> </w:t>
            </w:r>
            <w:proofErr w:type="spellStart"/>
            <w:r w:rsidRPr="008D1BF3">
              <w:rPr>
                <w:bCs/>
                <w:sz w:val="18"/>
                <w:szCs w:val="18"/>
                <w:lang w:val="en-US"/>
              </w:rPr>
              <w:t>este</w:t>
            </w:r>
            <w:proofErr w:type="spellEnd"/>
            <w:r w:rsidRPr="008D1BF3">
              <w:rPr>
                <w:bCs/>
                <w:sz w:val="18"/>
                <w:szCs w:val="18"/>
                <w:lang w:val="en-US"/>
              </w:rPr>
              <w:t xml:space="preserve"> </w:t>
            </w:r>
            <w:proofErr w:type="spellStart"/>
            <w:r w:rsidRPr="008D1BF3">
              <w:rPr>
                <w:bCs/>
                <w:sz w:val="18"/>
                <w:szCs w:val="18"/>
                <w:lang w:val="en-US"/>
              </w:rPr>
              <w:t>cazul</w:t>
            </w:r>
            <w:proofErr w:type="spellEnd"/>
            <w:r w:rsidRPr="008D1BF3">
              <w:rPr>
                <w:bCs/>
                <w:sz w:val="18"/>
                <w:szCs w:val="18"/>
                <w:lang w:val="en-US"/>
              </w:rPr>
              <w:t xml:space="preserve">, </w:t>
            </w:r>
            <w:proofErr w:type="spellStart"/>
            <w:r w:rsidRPr="008D1BF3">
              <w:rPr>
                <w:bCs/>
                <w:sz w:val="18"/>
                <w:szCs w:val="18"/>
                <w:lang w:val="en-US"/>
              </w:rPr>
              <w:t>atunci</w:t>
            </w:r>
            <w:proofErr w:type="spellEnd"/>
            <w:r w:rsidRPr="008D1BF3">
              <w:rPr>
                <w:bCs/>
                <w:sz w:val="18"/>
                <w:szCs w:val="18"/>
                <w:lang w:val="en-US"/>
              </w:rPr>
              <w:t xml:space="preserve"> </w:t>
            </w:r>
            <w:proofErr w:type="spellStart"/>
            <w:r w:rsidRPr="008D1BF3">
              <w:rPr>
                <w:bCs/>
                <w:sz w:val="18"/>
                <w:szCs w:val="18"/>
                <w:lang w:val="en-US"/>
              </w:rPr>
              <w:t>când</w:t>
            </w:r>
            <w:proofErr w:type="spellEnd"/>
            <w:r w:rsidRPr="008D1BF3">
              <w:rPr>
                <w:bCs/>
                <w:sz w:val="18"/>
                <w:szCs w:val="18"/>
                <w:lang w:val="en-US"/>
              </w:rPr>
              <w:t xml:space="preserve"> o </w:t>
            </w:r>
            <w:proofErr w:type="spellStart"/>
            <w:r w:rsidRPr="008D1BF3">
              <w:rPr>
                <w:bCs/>
                <w:sz w:val="18"/>
                <w:szCs w:val="18"/>
                <w:lang w:val="en-US"/>
              </w:rPr>
              <w:t>instituţie</w:t>
            </w:r>
            <w:proofErr w:type="spellEnd"/>
            <w:r w:rsidRPr="008D1BF3">
              <w:rPr>
                <w:bCs/>
                <w:sz w:val="18"/>
                <w:szCs w:val="18"/>
                <w:lang w:val="en-US"/>
              </w:rPr>
              <w:t xml:space="preserve"> </w:t>
            </w:r>
            <w:proofErr w:type="spellStart"/>
            <w:r w:rsidRPr="008D1BF3">
              <w:rPr>
                <w:bCs/>
                <w:sz w:val="18"/>
                <w:szCs w:val="18"/>
                <w:lang w:val="en-US"/>
              </w:rPr>
              <w:t>inclusă</w:t>
            </w:r>
            <w:proofErr w:type="spellEnd"/>
            <w:r w:rsidRPr="008D1BF3">
              <w:rPr>
                <w:bCs/>
                <w:sz w:val="18"/>
                <w:szCs w:val="18"/>
                <w:lang w:val="en-US"/>
              </w:rPr>
              <w:t xml:space="preserve"> </w:t>
            </w:r>
            <w:proofErr w:type="spellStart"/>
            <w:r w:rsidRPr="008D1BF3">
              <w:rPr>
                <w:bCs/>
                <w:sz w:val="18"/>
                <w:szCs w:val="18"/>
                <w:lang w:val="en-US"/>
              </w:rPr>
              <w:t>în</w:t>
            </w:r>
            <w:proofErr w:type="spellEnd"/>
            <w:r w:rsidRPr="008D1BF3">
              <w:rPr>
                <w:bCs/>
                <w:sz w:val="18"/>
                <w:szCs w:val="18"/>
                <w:lang w:val="en-US"/>
              </w:rPr>
              <w:t xml:space="preserve"> </w:t>
            </w:r>
            <w:proofErr w:type="spellStart"/>
            <w:r w:rsidRPr="008D1BF3">
              <w:rPr>
                <w:bCs/>
                <w:sz w:val="18"/>
                <w:szCs w:val="18"/>
                <w:lang w:val="en-US"/>
              </w:rPr>
              <w:t>consolidare</w:t>
            </w:r>
            <w:proofErr w:type="spellEnd"/>
            <w:r w:rsidRPr="008D1BF3">
              <w:rPr>
                <w:bCs/>
                <w:sz w:val="18"/>
                <w:szCs w:val="18"/>
                <w:lang w:val="en-US"/>
              </w:rPr>
              <w:t xml:space="preserve"> </w:t>
            </w:r>
            <w:proofErr w:type="spellStart"/>
            <w:r w:rsidRPr="008D1BF3">
              <w:rPr>
                <w:bCs/>
                <w:sz w:val="18"/>
                <w:szCs w:val="18"/>
                <w:lang w:val="en-US"/>
              </w:rPr>
              <w:t>aplică</w:t>
            </w:r>
            <w:proofErr w:type="spellEnd"/>
            <w:r w:rsidRPr="008D1BF3">
              <w:rPr>
                <w:bCs/>
                <w:sz w:val="18"/>
                <w:szCs w:val="18"/>
                <w:lang w:val="en-US"/>
              </w:rPr>
              <w:t xml:space="preserve"> </w:t>
            </w:r>
            <w:proofErr w:type="spellStart"/>
            <w:r w:rsidRPr="008D1BF3">
              <w:rPr>
                <w:bCs/>
                <w:sz w:val="18"/>
                <w:szCs w:val="18"/>
                <w:lang w:val="en-US"/>
              </w:rPr>
              <w:t>exclusiv</w:t>
            </w:r>
            <w:proofErr w:type="spellEnd"/>
            <w:r w:rsidRPr="008D1BF3">
              <w:rPr>
                <w:bCs/>
                <w:sz w:val="18"/>
                <w:szCs w:val="18"/>
                <w:lang w:val="en-US"/>
              </w:rPr>
              <w:t xml:space="preserve"> </w:t>
            </w:r>
            <w:proofErr w:type="spellStart"/>
            <w:r w:rsidRPr="008D1BF3">
              <w:rPr>
                <w:bCs/>
                <w:sz w:val="18"/>
                <w:szCs w:val="18"/>
                <w:lang w:val="en-US"/>
              </w:rPr>
              <w:t>abordarea</w:t>
            </w:r>
            <w:proofErr w:type="spellEnd"/>
            <w:r w:rsidRPr="008D1BF3">
              <w:rPr>
                <w:bCs/>
                <w:sz w:val="18"/>
                <w:szCs w:val="18"/>
                <w:lang w:val="en-US"/>
              </w:rPr>
              <w:t xml:space="preserve"> </w:t>
            </w:r>
            <w:proofErr w:type="spellStart"/>
            <w:r w:rsidRPr="008D1BF3">
              <w:rPr>
                <w:bCs/>
                <w:sz w:val="18"/>
                <w:szCs w:val="18"/>
                <w:lang w:val="en-US"/>
              </w:rPr>
              <w:t>bazată</w:t>
            </w:r>
            <w:proofErr w:type="spellEnd"/>
            <w:r w:rsidRPr="008D1BF3">
              <w:rPr>
                <w:bCs/>
                <w:sz w:val="18"/>
                <w:szCs w:val="18"/>
                <w:lang w:val="en-US"/>
              </w:rPr>
              <w:t xml:space="preserve"> pe </w:t>
            </w:r>
            <w:proofErr w:type="spellStart"/>
            <w:r w:rsidRPr="008D1BF3">
              <w:rPr>
                <w:bCs/>
                <w:sz w:val="18"/>
                <w:szCs w:val="18"/>
                <w:lang w:val="en-US"/>
              </w:rPr>
              <w:t>modele</w:t>
            </w:r>
            <w:proofErr w:type="spellEnd"/>
            <w:r w:rsidRPr="008D1BF3">
              <w:rPr>
                <w:bCs/>
                <w:sz w:val="18"/>
                <w:szCs w:val="18"/>
                <w:lang w:val="en-US"/>
              </w:rPr>
              <w:t xml:space="preserve"> interne de rating, </w:t>
            </w:r>
            <w:proofErr w:type="spellStart"/>
            <w:r w:rsidRPr="008D1BF3">
              <w:rPr>
                <w:bCs/>
                <w:sz w:val="18"/>
                <w:szCs w:val="18"/>
                <w:lang w:val="en-US"/>
              </w:rPr>
              <w:t>ajustările</w:t>
            </w:r>
            <w:proofErr w:type="spellEnd"/>
            <w:r w:rsidRPr="008D1BF3">
              <w:rPr>
                <w:bCs/>
                <w:sz w:val="18"/>
                <w:szCs w:val="18"/>
                <w:lang w:val="en-US"/>
              </w:rPr>
              <w:t xml:space="preserve"> generale </w:t>
            </w:r>
            <w:proofErr w:type="spellStart"/>
            <w:r w:rsidRPr="008D1BF3">
              <w:rPr>
                <w:bCs/>
                <w:sz w:val="18"/>
                <w:szCs w:val="18"/>
                <w:lang w:val="en-US"/>
              </w:rPr>
              <w:t>pentru</w:t>
            </w:r>
            <w:proofErr w:type="spellEnd"/>
            <w:r w:rsidRPr="008D1BF3">
              <w:rPr>
                <w:bCs/>
                <w:sz w:val="18"/>
                <w:szCs w:val="18"/>
                <w:lang w:val="en-US"/>
              </w:rPr>
              <w:t xml:space="preserve"> </w:t>
            </w:r>
            <w:proofErr w:type="spellStart"/>
            <w:r w:rsidRPr="008D1BF3">
              <w:rPr>
                <w:bCs/>
                <w:sz w:val="18"/>
                <w:szCs w:val="18"/>
                <w:lang w:val="en-US"/>
              </w:rPr>
              <w:t>riscul</w:t>
            </w:r>
            <w:proofErr w:type="spellEnd"/>
            <w:r w:rsidRPr="008D1BF3">
              <w:rPr>
                <w:bCs/>
                <w:sz w:val="18"/>
                <w:szCs w:val="18"/>
                <w:lang w:val="en-US"/>
              </w:rPr>
              <w:t xml:space="preserve"> de credit ale </w:t>
            </w:r>
            <w:proofErr w:type="spellStart"/>
            <w:r w:rsidRPr="008D1BF3">
              <w:rPr>
                <w:bCs/>
                <w:sz w:val="18"/>
                <w:szCs w:val="18"/>
                <w:lang w:val="en-US"/>
              </w:rPr>
              <w:t>acestei</w:t>
            </w:r>
            <w:proofErr w:type="spellEnd"/>
            <w:r w:rsidRPr="008D1BF3">
              <w:rPr>
                <w:bCs/>
                <w:sz w:val="18"/>
                <w:szCs w:val="18"/>
                <w:lang w:val="en-US"/>
              </w:rPr>
              <w:t xml:space="preserve"> </w:t>
            </w:r>
            <w:proofErr w:type="spellStart"/>
            <w:r w:rsidRPr="008D1BF3">
              <w:rPr>
                <w:bCs/>
                <w:sz w:val="18"/>
                <w:szCs w:val="18"/>
                <w:lang w:val="en-US"/>
              </w:rPr>
              <w:t>instituţii</w:t>
            </w:r>
            <w:proofErr w:type="spellEnd"/>
            <w:r w:rsidRPr="008D1BF3">
              <w:rPr>
                <w:bCs/>
                <w:sz w:val="18"/>
                <w:szCs w:val="18"/>
                <w:lang w:val="en-US"/>
              </w:rPr>
              <w:t xml:space="preserve"> sunt </w:t>
            </w:r>
            <w:proofErr w:type="spellStart"/>
            <w:r w:rsidRPr="008D1BF3">
              <w:rPr>
                <w:bCs/>
                <w:sz w:val="18"/>
                <w:szCs w:val="18"/>
                <w:lang w:val="en-US"/>
              </w:rPr>
              <w:t>supuse</w:t>
            </w:r>
            <w:proofErr w:type="spellEnd"/>
            <w:r w:rsidRPr="008D1BF3">
              <w:rPr>
                <w:bCs/>
                <w:sz w:val="18"/>
                <w:szCs w:val="18"/>
                <w:lang w:val="en-US"/>
              </w:rPr>
              <w:t xml:space="preserve"> </w:t>
            </w:r>
            <w:proofErr w:type="spellStart"/>
            <w:r w:rsidRPr="008D1BF3">
              <w:rPr>
                <w:bCs/>
                <w:sz w:val="18"/>
                <w:szCs w:val="18"/>
                <w:lang w:val="en-US"/>
              </w:rPr>
              <w:t>tratamentului</w:t>
            </w:r>
            <w:proofErr w:type="spellEnd"/>
            <w:r w:rsidRPr="008D1BF3">
              <w:rPr>
                <w:bCs/>
                <w:sz w:val="18"/>
                <w:szCs w:val="18"/>
                <w:lang w:val="en-US"/>
              </w:rPr>
              <w:t xml:space="preserve"> </w:t>
            </w:r>
            <w:proofErr w:type="spellStart"/>
            <w:r w:rsidRPr="008D1BF3">
              <w:rPr>
                <w:bCs/>
                <w:sz w:val="18"/>
                <w:szCs w:val="18"/>
                <w:lang w:val="en-US"/>
              </w:rPr>
              <w:t>prevăzut</w:t>
            </w:r>
            <w:proofErr w:type="spellEnd"/>
            <w:r w:rsidRPr="008D1BF3">
              <w:rPr>
                <w:bCs/>
                <w:sz w:val="18"/>
                <w:szCs w:val="18"/>
                <w:lang w:val="en-US"/>
              </w:rPr>
              <w:t xml:space="preserve"> la </w:t>
            </w:r>
            <w:proofErr w:type="spellStart"/>
            <w:r w:rsidRPr="008D1BF3">
              <w:rPr>
                <w:bCs/>
                <w:sz w:val="18"/>
                <w:szCs w:val="18"/>
                <w:lang w:val="en-US"/>
              </w:rPr>
              <w:t>alineatul</w:t>
            </w:r>
            <w:proofErr w:type="spellEnd"/>
            <w:r w:rsidRPr="008D1BF3">
              <w:rPr>
                <w:bCs/>
                <w:sz w:val="18"/>
                <w:szCs w:val="18"/>
                <w:lang w:val="en-US"/>
              </w:rPr>
              <w:t xml:space="preserve"> (2</w:t>
            </w:r>
            <w:proofErr w:type="gramStart"/>
            <w:r w:rsidRPr="008D1BF3">
              <w:rPr>
                <w:bCs/>
                <w:sz w:val="18"/>
                <w:szCs w:val="18"/>
                <w:lang w:val="en-US"/>
              </w:rPr>
              <w:t>);</w:t>
            </w:r>
            <w:proofErr w:type="gramEnd"/>
            <w:r w:rsidRPr="008D1BF3">
              <w:rPr>
                <w:bCs/>
                <w:sz w:val="18"/>
                <w:szCs w:val="18"/>
                <w:lang w:val="en-US"/>
              </w:rPr>
              <w:t xml:space="preserve"> </w:t>
            </w:r>
          </w:p>
          <w:p w14:paraId="2DE01B85" w14:textId="77777777" w:rsidR="008D1BF3" w:rsidRDefault="008D1BF3" w:rsidP="00024F5D">
            <w:pPr>
              <w:rPr>
                <w:bCs/>
                <w:sz w:val="18"/>
                <w:szCs w:val="18"/>
                <w:lang w:val="en-US"/>
              </w:rPr>
            </w:pPr>
            <w:r w:rsidRPr="008D1BF3">
              <w:rPr>
                <w:bCs/>
                <w:sz w:val="18"/>
                <w:szCs w:val="18"/>
                <w:lang w:val="en-US"/>
              </w:rPr>
              <w:t xml:space="preserve">(b) </w:t>
            </w:r>
            <w:proofErr w:type="spellStart"/>
            <w:r w:rsidRPr="008D1BF3">
              <w:rPr>
                <w:bCs/>
                <w:sz w:val="18"/>
                <w:szCs w:val="18"/>
                <w:lang w:val="en-US"/>
              </w:rPr>
              <w:t>dacă</w:t>
            </w:r>
            <w:proofErr w:type="spellEnd"/>
            <w:r w:rsidRPr="008D1BF3">
              <w:rPr>
                <w:bCs/>
                <w:sz w:val="18"/>
                <w:szCs w:val="18"/>
                <w:lang w:val="en-US"/>
              </w:rPr>
              <w:t xml:space="preserve"> </w:t>
            </w:r>
            <w:proofErr w:type="spellStart"/>
            <w:r w:rsidRPr="008D1BF3">
              <w:rPr>
                <w:bCs/>
                <w:sz w:val="18"/>
                <w:szCs w:val="18"/>
                <w:lang w:val="en-US"/>
              </w:rPr>
              <w:t>este</w:t>
            </w:r>
            <w:proofErr w:type="spellEnd"/>
            <w:r w:rsidRPr="008D1BF3">
              <w:rPr>
                <w:bCs/>
                <w:sz w:val="18"/>
                <w:szCs w:val="18"/>
                <w:lang w:val="en-US"/>
              </w:rPr>
              <w:t xml:space="preserve"> </w:t>
            </w:r>
            <w:proofErr w:type="spellStart"/>
            <w:r w:rsidRPr="008D1BF3">
              <w:rPr>
                <w:bCs/>
                <w:sz w:val="18"/>
                <w:szCs w:val="18"/>
                <w:lang w:val="en-US"/>
              </w:rPr>
              <w:t>cazul</w:t>
            </w:r>
            <w:proofErr w:type="spellEnd"/>
            <w:r w:rsidRPr="008D1BF3">
              <w:rPr>
                <w:bCs/>
                <w:sz w:val="18"/>
                <w:szCs w:val="18"/>
                <w:lang w:val="en-US"/>
              </w:rPr>
              <w:t xml:space="preserve">, </w:t>
            </w:r>
            <w:proofErr w:type="spellStart"/>
            <w:r w:rsidRPr="008D1BF3">
              <w:rPr>
                <w:bCs/>
                <w:sz w:val="18"/>
                <w:szCs w:val="18"/>
                <w:lang w:val="en-US"/>
              </w:rPr>
              <w:t>atunci</w:t>
            </w:r>
            <w:proofErr w:type="spellEnd"/>
            <w:r w:rsidRPr="008D1BF3">
              <w:rPr>
                <w:bCs/>
                <w:sz w:val="18"/>
                <w:szCs w:val="18"/>
                <w:lang w:val="en-US"/>
              </w:rPr>
              <w:t xml:space="preserve"> </w:t>
            </w:r>
            <w:proofErr w:type="spellStart"/>
            <w:r w:rsidRPr="008D1BF3">
              <w:rPr>
                <w:bCs/>
                <w:sz w:val="18"/>
                <w:szCs w:val="18"/>
                <w:lang w:val="en-US"/>
              </w:rPr>
              <w:t>când</w:t>
            </w:r>
            <w:proofErr w:type="spellEnd"/>
            <w:r w:rsidRPr="008D1BF3">
              <w:rPr>
                <w:bCs/>
                <w:sz w:val="18"/>
                <w:szCs w:val="18"/>
                <w:lang w:val="en-US"/>
              </w:rPr>
              <w:t xml:space="preserve"> o </w:t>
            </w:r>
            <w:proofErr w:type="spellStart"/>
            <w:r w:rsidRPr="008D1BF3">
              <w:rPr>
                <w:bCs/>
                <w:sz w:val="18"/>
                <w:szCs w:val="18"/>
                <w:lang w:val="en-US"/>
              </w:rPr>
              <w:t>instituţie</w:t>
            </w:r>
            <w:proofErr w:type="spellEnd"/>
            <w:r w:rsidRPr="008D1BF3">
              <w:rPr>
                <w:bCs/>
                <w:sz w:val="18"/>
                <w:szCs w:val="18"/>
                <w:lang w:val="en-US"/>
              </w:rPr>
              <w:t xml:space="preserve"> </w:t>
            </w:r>
            <w:proofErr w:type="spellStart"/>
            <w:r w:rsidRPr="008D1BF3">
              <w:rPr>
                <w:bCs/>
                <w:sz w:val="18"/>
                <w:szCs w:val="18"/>
                <w:lang w:val="en-US"/>
              </w:rPr>
              <w:t>inclusă</w:t>
            </w:r>
            <w:proofErr w:type="spellEnd"/>
            <w:r w:rsidRPr="008D1BF3">
              <w:rPr>
                <w:bCs/>
                <w:sz w:val="18"/>
                <w:szCs w:val="18"/>
                <w:lang w:val="en-US"/>
              </w:rPr>
              <w:t xml:space="preserve"> </w:t>
            </w:r>
            <w:proofErr w:type="spellStart"/>
            <w:r w:rsidRPr="008D1BF3">
              <w:rPr>
                <w:bCs/>
                <w:sz w:val="18"/>
                <w:szCs w:val="18"/>
                <w:lang w:val="en-US"/>
              </w:rPr>
              <w:t>în</w:t>
            </w:r>
            <w:proofErr w:type="spellEnd"/>
            <w:r w:rsidRPr="008D1BF3">
              <w:rPr>
                <w:bCs/>
                <w:sz w:val="18"/>
                <w:szCs w:val="18"/>
                <w:lang w:val="en-US"/>
              </w:rPr>
              <w:t xml:space="preserve"> </w:t>
            </w:r>
            <w:proofErr w:type="spellStart"/>
            <w:r w:rsidRPr="008D1BF3">
              <w:rPr>
                <w:bCs/>
                <w:sz w:val="18"/>
                <w:szCs w:val="18"/>
                <w:lang w:val="en-US"/>
              </w:rPr>
              <w:t>consolidare</w:t>
            </w:r>
            <w:proofErr w:type="spellEnd"/>
            <w:r w:rsidRPr="008D1BF3">
              <w:rPr>
                <w:bCs/>
                <w:sz w:val="18"/>
                <w:szCs w:val="18"/>
                <w:lang w:val="en-US"/>
              </w:rPr>
              <w:t xml:space="preserve"> </w:t>
            </w:r>
            <w:proofErr w:type="spellStart"/>
            <w:r w:rsidRPr="008D1BF3">
              <w:rPr>
                <w:bCs/>
                <w:sz w:val="18"/>
                <w:szCs w:val="18"/>
                <w:lang w:val="en-US"/>
              </w:rPr>
              <w:t>aplică</w:t>
            </w:r>
            <w:proofErr w:type="spellEnd"/>
            <w:r w:rsidRPr="008D1BF3">
              <w:rPr>
                <w:bCs/>
                <w:sz w:val="18"/>
                <w:szCs w:val="18"/>
                <w:lang w:val="en-US"/>
              </w:rPr>
              <w:t xml:space="preserve"> </w:t>
            </w:r>
            <w:proofErr w:type="spellStart"/>
            <w:r w:rsidRPr="008D1BF3">
              <w:rPr>
                <w:bCs/>
                <w:sz w:val="18"/>
                <w:szCs w:val="18"/>
                <w:lang w:val="en-US"/>
              </w:rPr>
              <w:t>exclusiv</w:t>
            </w:r>
            <w:proofErr w:type="spellEnd"/>
            <w:r w:rsidRPr="008D1BF3">
              <w:rPr>
                <w:bCs/>
                <w:sz w:val="18"/>
                <w:szCs w:val="18"/>
                <w:lang w:val="en-US"/>
              </w:rPr>
              <w:t xml:space="preserve"> </w:t>
            </w:r>
            <w:proofErr w:type="spellStart"/>
            <w:r w:rsidRPr="008D1BF3">
              <w:rPr>
                <w:bCs/>
                <w:sz w:val="18"/>
                <w:szCs w:val="18"/>
                <w:lang w:val="en-US"/>
              </w:rPr>
              <w:t>abordarea</w:t>
            </w:r>
            <w:proofErr w:type="spellEnd"/>
            <w:r w:rsidRPr="008D1BF3">
              <w:rPr>
                <w:bCs/>
                <w:sz w:val="18"/>
                <w:szCs w:val="18"/>
                <w:lang w:val="en-US"/>
              </w:rPr>
              <w:t xml:space="preserve"> </w:t>
            </w:r>
            <w:proofErr w:type="spellStart"/>
            <w:r w:rsidRPr="008D1BF3">
              <w:rPr>
                <w:bCs/>
                <w:sz w:val="18"/>
                <w:szCs w:val="18"/>
                <w:lang w:val="en-US"/>
              </w:rPr>
              <w:t>standardizată</w:t>
            </w:r>
            <w:proofErr w:type="spellEnd"/>
            <w:r w:rsidRPr="008D1BF3">
              <w:rPr>
                <w:bCs/>
                <w:sz w:val="18"/>
                <w:szCs w:val="18"/>
                <w:lang w:val="en-US"/>
              </w:rPr>
              <w:t xml:space="preserve">, </w:t>
            </w:r>
            <w:proofErr w:type="spellStart"/>
            <w:r w:rsidRPr="008D1BF3">
              <w:rPr>
                <w:bCs/>
                <w:sz w:val="18"/>
                <w:szCs w:val="18"/>
                <w:lang w:val="en-US"/>
              </w:rPr>
              <w:t>ajustările</w:t>
            </w:r>
            <w:proofErr w:type="spellEnd"/>
            <w:r w:rsidRPr="008D1BF3">
              <w:rPr>
                <w:bCs/>
                <w:sz w:val="18"/>
                <w:szCs w:val="18"/>
                <w:lang w:val="en-US"/>
              </w:rPr>
              <w:t xml:space="preserve"> generale </w:t>
            </w:r>
            <w:proofErr w:type="spellStart"/>
            <w:r w:rsidRPr="008D1BF3">
              <w:rPr>
                <w:bCs/>
                <w:sz w:val="18"/>
                <w:szCs w:val="18"/>
                <w:lang w:val="en-US"/>
              </w:rPr>
              <w:t>pentru</w:t>
            </w:r>
            <w:proofErr w:type="spellEnd"/>
            <w:r w:rsidRPr="008D1BF3">
              <w:rPr>
                <w:bCs/>
                <w:sz w:val="18"/>
                <w:szCs w:val="18"/>
                <w:lang w:val="en-US"/>
              </w:rPr>
              <w:t xml:space="preserve"> </w:t>
            </w:r>
            <w:proofErr w:type="spellStart"/>
            <w:r w:rsidRPr="008D1BF3">
              <w:rPr>
                <w:bCs/>
                <w:sz w:val="18"/>
                <w:szCs w:val="18"/>
                <w:lang w:val="en-US"/>
              </w:rPr>
              <w:t>riscul</w:t>
            </w:r>
            <w:proofErr w:type="spellEnd"/>
            <w:r w:rsidRPr="008D1BF3">
              <w:rPr>
                <w:bCs/>
                <w:sz w:val="18"/>
                <w:szCs w:val="18"/>
                <w:lang w:val="en-US"/>
              </w:rPr>
              <w:t xml:space="preserve"> de credit ale </w:t>
            </w:r>
            <w:proofErr w:type="spellStart"/>
            <w:r w:rsidRPr="008D1BF3">
              <w:rPr>
                <w:bCs/>
                <w:sz w:val="18"/>
                <w:szCs w:val="18"/>
                <w:lang w:val="en-US"/>
              </w:rPr>
              <w:t>acestei</w:t>
            </w:r>
            <w:proofErr w:type="spellEnd"/>
            <w:r w:rsidRPr="008D1BF3">
              <w:rPr>
                <w:bCs/>
                <w:sz w:val="18"/>
                <w:szCs w:val="18"/>
                <w:lang w:val="en-US"/>
              </w:rPr>
              <w:t xml:space="preserve"> </w:t>
            </w:r>
            <w:proofErr w:type="spellStart"/>
            <w:r w:rsidRPr="008D1BF3">
              <w:rPr>
                <w:bCs/>
                <w:sz w:val="18"/>
                <w:szCs w:val="18"/>
                <w:lang w:val="en-US"/>
              </w:rPr>
              <w:lastRenderedPageBreak/>
              <w:t>instituţii</w:t>
            </w:r>
            <w:proofErr w:type="spellEnd"/>
            <w:r w:rsidRPr="008D1BF3">
              <w:rPr>
                <w:bCs/>
                <w:sz w:val="18"/>
                <w:szCs w:val="18"/>
                <w:lang w:val="en-US"/>
              </w:rPr>
              <w:t xml:space="preserve"> sunt </w:t>
            </w:r>
            <w:proofErr w:type="spellStart"/>
            <w:r w:rsidRPr="008D1BF3">
              <w:rPr>
                <w:bCs/>
                <w:sz w:val="18"/>
                <w:szCs w:val="18"/>
                <w:lang w:val="en-US"/>
              </w:rPr>
              <w:t>supuse</w:t>
            </w:r>
            <w:proofErr w:type="spellEnd"/>
            <w:r w:rsidRPr="008D1BF3">
              <w:rPr>
                <w:bCs/>
                <w:sz w:val="18"/>
                <w:szCs w:val="18"/>
                <w:lang w:val="en-US"/>
              </w:rPr>
              <w:t xml:space="preserve"> </w:t>
            </w:r>
            <w:proofErr w:type="spellStart"/>
            <w:r w:rsidRPr="008D1BF3">
              <w:rPr>
                <w:bCs/>
                <w:sz w:val="18"/>
                <w:szCs w:val="18"/>
                <w:lang w:val="en-US"/>
              </w:rPr>
              <w:t>tratamentului</w:t>
            </w:r>
            <w:proofErr w:type="spellEnd"/>
            <w:r w:rsidRPr="008D1BF3">
              <w:rPr>
                <w:bCs/>
                <w:sz w:val="18"/>
                <w:szCs w:val="18"/>
                <w:lang w:val="en-US"/>
              </w:rPr>
              <w:t xml:space="preserve"> </w:t>
            </w:r>
            <w:proofErr w:type="spellStart"/>
            <w:r w:rsidRPr="008D1BF3">
              <w:rPr>
                <w:bCs/>
                <w:sz w:val="18"/>
                <w:szCs w:val="18"/>
                <w:lang w:val="en-US"/>
              </w:rPr>
              <w:t>prevăzut</w:t>
            </w:r>
            <w:proofErr w:type="spellEnd"/>
            <w:r w:rsidRPr="008D1BF3">
              <w:rPr>
                <w:bCs/>
                <w:sz w:val="18"/>
                <w:szCs w:val="18"/>
                <w:lang w:val="en-US"/>
              </w:rPr>
              <w:t xml:space="preserve"> la </w:t>
            </w:r>
            <w:proofErr w:type="spellStart"/>
            <w:r w:rsidRPr="008D1BF3">
              <w:rPr>
                <w:bCs/>
                <w:sz w:val="18"/>
                <w:szCs w:val="18"/>
                <w:lang w:val="en-US"/>
              </w:rPr>
              <w:t>alineatul</w:t>
            </w:r>
            <w:proofErr w:type="spellEnd"/>
            <w:r w:rsidRPr="008D1BF3">
              <w:rPr>
                <w:bCs/>
                <w:sz w:val="18"/>
                <w:szCs w:val="18"/>
                <w:lang w:val="en-US"/>
              </w:rPr>
              <w:t xml:space="preserve"> (1</w:t>
            </w:r>
            <w:proofErr w:type="gramStart"/>
            <w:r w:rsidRPr="008D1BF3">
              <w:rPr>
                <w:bCs/>
                <w:sz w:val="18"/>
                <w:szCs w:val="18"/>
                <w:lang w:val="en-US"/>
              </w:rPr>
              <w:t>);</w:t>
            </w:r>
            <w:proofErr w:type="gramEnd"/>
            <w:r w:rsidRPr="008D1BF3">
              <w:rPr>
                <w:bCs/>
                <w:sz w:val="18"/>
                <w:szCs w:val="18"/>
                <w:lang w:val="en-US"/>
              </w:rPr>
              <w:t xml:space="preserve"> </w:t>
            </w:r>
          </w:p>
          <w:p w14:paraId="00BFF0B1" w14:textId="7888A99E" w:rsidR="008D1BF3" w:rsidRPr="008D1BF3" w:rsidRDefault="008D1BF3" w:rsidP="00024F5D">
            <w:pPr>
              <w:rPr>
                <w:bCs/>
                <w:sz w:val="18"/>
                <w:szCs w:val="18"/>
                <w:lang w:val="ro-MD"/>
              </w:rPr>
            </w:pPr>
            <w:r w:rsidRPr="008D1BF3">
              <w:rPr>
                <w:bCs/>
                <w:sz w:val="18"/>
                <w:szCs w:val="18"/>
                <w:lang w:val="en-US"/>
              </w:rPr>
              <w:t xml:space="preserve">(c) </w:t>
            </w:r>
            <w:proofErr w:type="spellStart"/>
            <w:r w:rsidRPr="008D1BF3">
              <w:rPr>
                <w:bCs/>
                <w:sz w:val="18"/>
                <w:szCs w:val="18"/>
                <w:lang w:val="en-US"/>
              </w:rPr>
              <w:t>suma</w:t>
            </w:r>
            <w:proofErr w:type="spellEnd"/>
            <w:r w:rsidRPr="008D1BF3">
              <w:rPr>
                <w:bCs/>
                <w:sz w:val="18"/>
                <w:szCs w:val="18"/>
                <w:lang w:val="en-US"/>
              </w:rPr>
              <w:t xml:space="preserve"> </w:t>
            </w:r>
            <w:proofErr w:type="spellStart"/>
            <w:r w:rsidRPr="008D1BF3">
              <w:rPr>
                <w:bCs/>
                <w:sz w:val="18"/>
                <w:szCs w:val="18"/>
                <w:lang w:val="en-US"/>
              </w:rPr>
              <w:t>rămasă</w:t>
            </w:r>
            <w:proofErr w:type="spellEnd"/>
            <w:r w:rsidRPr="008D1BF3">
              <w:rPr>
                <w:bCs/>
                <w:sz w:val="18"/>
                <w:szCs w:val="18"/>
                <w:lang w:val="en-US"/>
              </w:rPr>
              <w:t xml:space="preserve"> </w:t>
            </w:r>
            <w:proofErr w:type="gramStart"/>
            <w:r w:rsidRPr="008D1BF3">
              <w:rPr>
                <w:bCs/>
                <w:sz w:val="18"/>
                <w:szCs w:val="18"/>
                <w:lang w:val="en-US"/>
              </w:rPr>
              <w:t>a</w:t>
            </w:r>
            <w:proofErr w:type="gramEnd"/>
            <w:r w:rsidRPr="008D1BF3">
              <w:rPr>
                <w:bCs/>
                <w:sz w:val="18"/>
                <w:szCs w:val="18"/>
                <w:lang w:val="en-US"/>
              </w:rPr>
              <w:t xml:space="preserve"> </w:t>
            </w:r>
            <w:proofErr w:type="spellStart"/>
            <w:r w:rsidRPr="008D1BF3">
              <w:rPr>
                <w:bCs/>
                <w:sz w:val="18"/>
                <w:szCs w:val="18"/>
                <w:lang w:val="en-US"/>
              </w:rPr>
              <w:t>ajustării</w:t>
            </w:r>
            <w:proofErr w:type="spellEnd"/>
            <w:r w:rsidRPr="008D1BF3">
              <w:rPr>
                <w:bCs/>
                <w:sz w:val="18"/>
                <w:szCs w:val="18"/>
                <w:lang w:val="en-US"/>
              </w:rPr>
              <w:t xml:space="preserve"> </w:t>
            </w:r>
            <w:proofErr w:type="spellStart"/>
            <w:r w:rsidRPr="008D1BF3">
              <w:rPr>
                <w:bCs/>
                <w:sz w:val="18"/>
                <w:szCs w:val="18"/>
                <w:lang w:val="en-US"/>
              </w:rPr>
              <w:t>pentru</w:t>
            </w:r>
            <w:proofErr w:type="spellEnd"/>
            <w:r w:rsidRPr="008D1BF3">
              <w:rPr>
                <w:bCs/>
                <w:sz w:val="18"/>
                <w:szCs w:val="18"/>
                <w:lang w:val="en-US"/>
              </w:rPr>
              <w:t xml:space="preserve"> </w:t>
            </w:r>
            <w:proofErr w:type="spellStart"/>
            <w:r w:rsidRPr="008D1BF3">
              <w:rPr>
                <w:bCs/>
                <w:sz w:val="18"/>
                <w:szCs w:val="18"/>
                <w:lang w:val="en-US"/>
              </w:rPr>
              <w:t>riscul</w:t>
            </w:r>
            <w:proofErr w:type="spellEnd"/>
            <w:r w:rsidRPr="008D1BF3">
              <w:rPr>
                <w:bCs/>
                <w:sz w:val="18"/>
                <w:szCs w:val="18"/>
                <w:lang w:val="en-US"/>
              </w:rPr>
              <w:t xml:space="preserve"> de credit se </w:t>
            </w:r>
            <w:proofErr w:type="spellStart"/>
            <w:r w:rsidRPr="008D1BF3">
              <w:rPr>
                <w:bCs/>
                <w:sz w:val="18"/>
                <w:szCs w:val="18"/>
                <w:lang w:val="en-US"/>
              </w:rPr>
              <w:t>alocă</w:t>
            </w:r>
            <w:proofErr w:type="spellEnd"/>
            <w:r w:rsidRPr="008D1BF3">
              <w:rPr>
                <w:bCs/>
                <w:sz w:val="18"/>
                <w:szCs w:val="18"/>
                <w:lang w:val="en-US"/>
              </w:rPr>
              <w:t xml:space="preserve"> pro rata </w:t>
            </w:r>
            <w:proofErr w:type="spellStart"/>
            <w:r w:rsidRPr="008D1BF3">
              <w:rPr>
                <w:bCs/>
                <w:sz w:val="18"/>
                <w:szCs w:val="18"/>
                <w:lang w:val="en-US"/>
              </w:rPr>
              <w:t>în</w:t>
            </w:r>
            <w:proofErr w:type="spellEnd"/>
            <w:r w:rsidRPr="008D1BF3">
              <w:rPr>
                <w:bCs/>
                <w:sz w:val="18"/>
                <w:szCs w:val="18"/>
                <w:lang w:val="en-US"/>
              </w:rPr>
              <w:t xml:space="preserve"> </w:t>
            </w:r>
            <w:proofErr w:type="spellStart"/>
            <w:r w:rsidRPr="008D1BF3">
              <w:rPr>
                <w:bCs/>
                <w:sz w:val="18"/>
                <w:szCs w:val="18"/>
                <w:lang w:val="en-US"/>
              </w:rPr>
              <w:t>conformitate</w:t>
            </w:r>
            <w:proofErr w:type="spellEnd"/>
            <w:r w:rsidRPr="008D1BF3">
              <w:rPr>
                <w:bCs/>
                <w:sz w:val="18"/>
                <w:szCs w:val="18"/>
                <w:lang w:val="en-US"/>
              </w:rPr>
              <w:t xml:space="preserve"> cu </w:t>
            </w:r>
            <w:proofErr w:type="spellStart"/>
            <w:r w:rsidRPr="008D1BF3">
              <w:rPr>
                <w:bCs/>
                <w:sz w:val="18"/>
                <w:szCs w:val="18"/>
                <w:lang w:val="en-US"/>
              </w:rPr>
              <w:t>proporţia</w:t>
            </w:r>
            <w:proofErr w:type="spellEnd"/>
            <w:r w:rsidRPr="008D1BF3">
              <w:rPr>
                <w:bCs/>
                <w:sz w:val="18"/>
                <w:szCs w:val="18"/>
                <w:lang w:val="en-US"/>
              </w:rPr>
              <w:t xml:space="preserve"> </w:t>
            </w:r>
            <w:proofErr w:type="spellStart"/>
            <w:r w:rsidRPr="008D1BF3">
              <w:rPr>
                <w:bCs/>
                <w:sz w:val="18"/>
                <w:szCs w:val="18"/>
                <w:lang w:val="en-US"/>
              </w:rPr>
              <w:t>cuantumurilor</w:t>
            </w:r>
            <w:proofErr w:type="spellEnd"/>
            <w:r w:rsidRPr="008D1BF3">
              <w:rPr>
                <w:bCs/>
                <w:sz w:val="18"/>
                <w:szCs w:val="18"/>
                <w:lang w:val="en-US"/>
              </w:rPr>
              <w:t xml:space="preserve"> </w:t>
            </w:r>
            <w:proofErr w:type="spellStart"/>
            <w:r w:rsidRPr="008D1BF3">
              <w:rPr>
                <w:bCs/>
                <w:sz w:val="18"/>
                <w:szCs w:val="18"/>
                <w:lang w:val="en-US"/>
              </w:rPr>
              <w:t>ponderate</w:t>
            </w:r>
            <w:proofErr w:type="spellEnd"/>
            <w:r w:rsidRPr="008D1BF3">
              <w:rPr>
                <w:bCs/>
                <w:sz w:val="18"/>
                <w:szCs w:val="18"/>
                <w:lang w:val="en-US"/>
              </w:rPr>
              <w:t xml:space="preserve"> la </w:t>
            </w:r>
            <w:proofErr w:type="spellStart"/>
            <w:r w:rsidRPr="008D1BF3">
              <w:rPr>
                <w:bCs/>
                <w:sz w:val="18"/>
                <w:szCs w:val="18"/>
                <w:lang w:val="en-US"/>
              </w:rPr>
              <w:t>risc</w:t>
            </w:r>
            <w:proofErr w:type="spellEnd"/>
            <w:r w:rsidRPr="008D1BF3">
              <w:rPr>
                <w:bCs/>
                <w:sz w:val="18"/>
                <w:szCs w:val="18"/>
                <w:lang w:val="en-US"/>
              </w:rPr>
              <w:t xml:space="preserve"> ale </w:t>
            </w:r>
            <w:proofErr w:type="spellStart"/>
            <w:r w:rsidRPr="008D1BF3">
              <w:rPr>
                <w:bCs/>
                <w:sz w:val="18"/>
                <w:szCs w:val="18"/>
                <w:lang w:val="en-US"/>
              </w:rPr>
              <w:t>expunerilor</w:t>
            </w:r>
            <w:proofErr w:type="spellEnd"/>
            <w:r w:rsidRPr="008D1BF3">
              <w:rPr>
                <w:bCs/>
                <w:sz w:val="18"/>
                <w:szCs w:val="18"/>
                <w:lang w:val="en-US"/>
              </w:rPr>
              <w:t xml:space="preserve"> care fac </w:t>
            </w:r>
            <w:proofErr w:type="spellStart"/>
            <w:r w:rsidRPr="008D1BF3">
              <w:rPr>
                <w:bCs/>
                <w:sz w:val="18"/>
                <w:szCs w:val="18"/>
                <w:lang w:val="en-US"/>
              </w:rPr>
              <w:t>obiectul</w:t>
            </w:r>
            <w:proofErr w:type="spellEnd"/>
            <w:r w:rsidRPr="008D1BF3">
              <w:rPr>
                <w:bCs/>
                <w:sz w:val="18"/>
                <w:szCs w:val="18"/>
                <w:lang w:val="en-US"/>
              </w:rPr>
              <w:t xml:space="preserve"> </w:t>
            </w:r>
            <w:proofErr w:type="spellStart"/>
            <w:r w:rsidRPr="008D1BF3">
              <w:rPr>
                <w:bCs/>
                <w:sz w:val="18"/>
                <w:szCs w:val="18"/>
                <w:lang w:val="en-US"/>
              </w:rPr>
              <w:t>abordării</w:t>
            </w:r>
            <w:proofErr w:type="spellEnd"/>
            <w:r w:rsidRPr="008D1BF3">
              <w:rPr>
                <w:bCs/>
                <w:sz w:val="18"/>
                <w:szCs w:val="18"/>
                <w:lang w:val="en-US"/>
              </w:rPr>
              <w:t xml:space="preserve"> </w:t>
            </w:r>
            <w:proofErr w:type="spellStart"/>
            <w:r w:rsidRPr="008D1BF3">
              <w:rPr>
                <w:bCs/>
                <w:sz w:val="18"/>
                <w:szCs w:val="18"/>
                <w:lang w:val="en-US"/>
              </w:rPr>
              <w:t>standardizate</w:t>
            </w:r>
            <w:proofErr w:type="spellEnd"/>
            <w:r w:rsidRPr="008D1BF3">
              <w:rPr>
                <w:bCs/>
                <w:sz w:val="18"/>
                <w:szCs w:val="18"/>
                <w:lang w:val="en-US"/>
              </w:rPr>
              <w:t xml:space="preserve"> </w:t>
            </w:r>
            <w:proofErr w:type="spellStart"/>
            <w:r w:rsidRPr="008D1BF3">
              <w:rPr>
                <w:bCs/>
                <w:sz w:val="18"/>
                <w:szCs w:val="18"/>
                <w:lang w:val="en-US"/>
              </w:rPr>
              <w:t>și</w:t>
            </w:r>
            <w:proofErr w:type="spellEnd"/>
            <w:r w:rsidRPr="008D1BF3">
              <w:rPr>
                <w:bCs/>
                <w:sz w:val="18"/>
                <w:szCs w:val="18"/>
                <w:lang w:val="en-US"/>
              </w:rPr>
              <w:t xml:space="preserve"> a </w:t>
            </w:r>
            <w:proofErr w:type="spellStart"/>
            <w:r w:rsidRPr="008D1BF3">
              <w:rPr>
                <w:bCs/>
                <w:sz w:val="18"/>
                <w:szCs w:val="18"/>
                <w:lang w:val="en-US"/>
              </w:rPr>
              <w:t>celor</w:t>
            </w:r>
            <w:proofErr w:type="spellEnd"/>
            <w:r w:rsidRPr="008D1BF3">
              <w:rPr>
                <w:bCs/>
                <w:sz w:val="18"/>
                <w:szCs w:val="18"/>
                <w:lang w:val="en-US"/>
              </w:rPr>
              <w:t xml:space="preserve"> care fac </w:t>
            </w:r>
            <w:proofErr w:type="spellStart"/>
            <w:r w:rsidRPr="008D1BF3">
              <w:rPr>
                <w:bCs/>
                <w:sz w:val="18"/>
                <w:szCs w:val="18"/>
                <w:lang w:val="en-US"/>
              </w:rPr>
              <w:t>obiectul</w:t>
            </w:r>
            <w:proofErr w:type="spellEnd"/>
            <w:r w:rsidRPr="008D1BF3">
              <w:rPr>
                <w:bCs/>
                <w:sz w:val="18"/>
                <w:szCs w:val="18"/>
                <w:lang w:val="en-US"/>
              </w:rPr>
              <w:t xml:space="preserve"> </w:t>
            </w:r>
            <w:proofErr w:type="spellStart"/>
            <w:r w:rsidRPr="008D1BF3">
              <w:rPr>
                <w:bCs/>
                <w:sz w:val="18"/>
                <w:szCs w:val="18"/>
                <w:lang w:val="en-US"/>
              </w:rPr>
              <w:t>abordării</w:t>
            </w:r>
            <w:proofErr w:type="spellEnd"/>
            <w:r w:rsidRPr="008D1BF3">
              <w:rPr>
                <w:bCs/>
                <w:sz w:val="18"/>
                <w:szCs w:val="18"/>
                <w:lang w:val="en-US"/>
              </w:rPr>
              <w:t xml:space="preserve"> IRB.</w:t>
            </w:r>
          </w:p>
        </w:tc>
        <w:tc>
          <w:tcPr>
            <w:tcW w:w="3685" w:type="dxa"/>
            <w:shd w:val="clear" w:color="auto" w:fill="auto"/>
          </w:tcPr>
          <w:p w14:paraId="3F28BE9E" w14:textId="77777777" w:rsidR="00775E84" w:rsidRPr="00775E84" w:rsidRDefault="00775E84" w:rsidP="00775E84">
            <w:pPr>
              <w:tabs>
                <w:tab w:val="left" w:pos="540"/>
              </w:tabs>
              <w:ind w:left="-43"/>
              <w:jc w:val="both"/>
              <w:rPr>
                <w:color w:val="000000"/>
                <w:sz w:val="18"/>
                <w:szCs w:val="18"/>
                <w:lang w:val="ro-MD"/>
              </w:rPr>
            </w:pPr>
            <w:r w:rsidRPr="00775E84">
              <w:rPr>
                <w:b/>
                <w:bCs/>
                <w:color w:val="000000"/>
                <w:sz w:val="18"/>
                <w:szCs w:val="18"/>
                <w:lang w:val="ro-MD"/>
              </w:rPr>
              <w:lastRenderedPageBreak/>
              <w:t>4</w:t>
            </w:r>
            <w:r w:rsidRPr="00775E84">
              <w:rPr>
                <w:b/>
                <w:bCs/>
                <w:color w:val="000000"/>
                <w:sz w:val="18"/>
                <w:szCs w:val="18"/>
                <w:vertAlign w:val="superscript"/>
                <w:lang w:val="ro-MD"/>
              </w:rPr>
              <w:t>3</w:t>
            </w:r>
            <w:r w:rsidRPr="00775E84">
              <w:rPr>
                <w:b/>
                <w:bCs/>
                <w:color w:val="000000"/>
                <w:sz w:val="18"/>
                <w:szCs w:val="18"/>
                <w:lang w:val="ro-MD"/>
              </w:rPr>
              <w:t>.</w:t>
            </w:r>
            <w:r w:rsidRPr="00775E84">
              <w:rPr>
                <w:color w:val="000000"/>
                <w:sz w:val="18"/>
                <w:szCs w:val="18"/>
                <w:lang w:val="ro-MD"/>
              </w:rPr>
              <w:t> Băncile care utilizează abordarea bazată pe modele interne de rating și care aplică abordarea standardizată pentru o parte din expunerile lor, pe bază consolidată sau individuală, în conformitate cu condițiile de implementare a abordării IRB pentru diferite clase de expuneri și unități operaționale și condițiile de utilizare parțial</w:t>
            </w:r>
            <w:r w:rsidRPr="00775E84">
              <w:rPr>
                <w:rFonts w:hint="eastAsia"/>
                <w:color w:val="000000"/>
                <w:sz w:val="18"/>
                <w:szCs w:val="18"/>
                <w:lang w:val="ro-MD"/>
              </w:rPr>
              <w:t>ă</w:t>
            </w:r>
            <w:r w:rsidRPr="00775E84">
              <w:rPr>
                <w:color w:val="000000"/>
                <w:sz w:val="18"/>
                <w:szCs w:val="18"/>
                <w:lang w:val="ro-MD"/>
              </w:rPr>
              <w:t xml:space="preserve"> permanent</w:t>
            </w:r>
            <w:r w:rsidRPr="00775E84">
              <w:rPr>
                <w:rFonts w:hint="eastAsia"/>
                <w:color w:val="000000"/>
                <w:sz w:val="18"/>
                <w:szCs w:val="18"/>
                <w:lang w:val="ro-MD"/>
              </w:rPr>
              <w:t>ă</w:t>
            </w:r>
            <w:r w:rsidRPr="00775E84">
              <w:rPr>
                <w:color w:val="000000"/>
                <w:sz w:val="18"/>
                <w:szCs w:val="18"/>
                <w:lang w:val="ro-MD"/>
              </w:rPr>
              <w:t>, stabilesc partea ajustării generale pentru riscul de credit care trebuie supusă tratamentului ajustării generale pentru riscul de credit conform abordării standardizată și cea supusă tratamentului ajustării generale pentru riscul de credit conform abordării IRB, după cum urmează:</w:t>
            </w:r>
          </w:p>
          <w:p w14:paraId="19259C27" w14:textId="419B8E38" w:rsidR="00775E84" w:rsidRPr="00775E84" w:rsidRDefault="00775E84" w:rsidP="00775E84">
            <w:pPr>
              <w:tabs>
                <w:tab w:val="left" w:pos="540"/>
              </w:tabs>
              <w:ind w:left="-43"/>
              <w:jc w:val="both"/>
              <w:rPr>
                <w:color w:val="000000"/>
                <w:sz w:val="18"/>
                <w:szCs w:val="18"/>
                <w:lang w:val="ro-MD"/>
              </w:rPr>
            </w:pPr>
            <w:r w:rsidRPr="00775E84">
              <w:rPr>
                <w:color w:val="000000"/>
                <w:sz w:val="18"/>
                <w:szCs w:val="18"/>
                <w:lang w:val="ro-MD"/>
              </w:rPr>
              <w:t>1) </w:t>
            </w:r>
            <w:r w:rsidR="002E23B7">
              <w:rPr>
                <w:color w:val="000000"/>
                <w:sz w:val="18"/>
                <w:szCs w:val="18"/>
                <w:lang w:val="ro-MD"/>
              </w:rPr>
              <w:t xml:space="preserve">în </w:t>
            </w:r>
            <w:r w:rsidRPr="00775E84">
              <w:rPr>
                <w:color w:val="000000"/>
                <w:sz w:val="18"/>
                <w:szCs w:val="18"/>
                <w:lang w:val="ro-MD"/>
              </w:rPr>
              <w:t>cazul</w:t>
            </w:r>
            <w:r w:rsidR="002E23B7">
              <w:rPr>
                <w:color w:val="000000"/>
                <w:sz w:val="18"/>
                <w:szCs w:val="18"/>
                <w:lang w:val="ro-MD"/>
              </w:rPr>
              <w:t xml:space="preserve"> în care</w:t>
            </w:r>
            <w:r w:rsidRPr="00775E84">
              <w:rPr>
                <w:color w:val="000000"/>
                <w:sz w:val="18"/>
                <w:szCs w:val="18"/>
                <w:lang w:val="ro-MD"/>
              </w:rPr>
              <w:t xml:space="preserve"> o bancă inclusă în consolidare aplică exclusiv abordarea </w:t>
            </w:r>
            <w:r w:rsidR="006D0DDF">
              <w:rPr>
                <w:color w:val="000000"/>
                <w:sz w:val="18"/>
                <w:szCs w:val="18"/>
                <w:lang w:val="ro-MD"/>
              </w:rPr>
              <w:t>IRB</w:t>
            </w:r>
            <w:r w:rsidRPr="00775E84">
              <w:rPr>
                <w:color w:val="000000"/>
                <w:sz w:val="18"/>
                <w:szCs w:val="18"/>
                <w:lang w:val="ro-MD"/>
              </w:rPr>
              <w:t xml:space="preserve">, ajustările generale pentru riscul de credit ale acestei bănci sunt supuse tratamentului prevăzut la </w:t>
            </w:r>
            <w:bookmarkStart w:id="1" w:name="_Hlk205368142"/>
            <w:r w:rsidRPr="00775E84">
              <w:rPr>
                <w:color w:val="000000"/>
                <w:sz w:val="18"/>
                <w:szCs w:val="18"/>
                <w:lang w:val="ro-MD"/>
              </w:rPr>
              <w:t>punctul 4</w:t>
            </w:r>
            <w:r w:rsidRPr="00775E84">
              <w:rPr>
                <w:color w:val="000000"/>
                <w:sz w:val="18"/>
                <w:szCs w:val="18"/>
                <w:vertAlign w:val="superscript"/>
                <w:lang w:val="ro-MD"/>
              </w:rPr>
              <w:t>1</w:t>
            </w:r>
            <w:r w:rsidRPr="00775E84">
              <w:rPr>
                <w:color w:val="000000"/>
                <w:sz w:val="18"/>
                <w:szCs w:val="18"/>
                <w:lang w:val="ro-MD"/>
              </w:rPr>
              <w:t>;</w:t>
            </w:r>
            <w:bookmarkEnd w:id="1"/>
          </w:p>
          <w:p w14:paraId="52E43518" w14:textId="17EE95CF" w:rsidR="00775E84" w:rsidRPr="00775E84" w:rsidRDefault="00775E84" w:rsidP="00775E84">
            <w:pPr>
              <w:tabs>
                <w:tab w:val="left" w:pos="540"/>
              </w:tabs>
              <w:ind w:left="-43"/>
              <w:jc w:val="both"/>
              <w:rPr>
                <w:color w:val="000000"/>
                <w:sz w:val="18"/>
                <w:szCs w:val="18"/>
                <w:lang w:val="ro-MD"/>
              </w:rPr>
            </w:pPr>
            <w:r w:rsidRPr="00775E84">
              <w:rPr>
                <w:color w:val="000000"/>
                <w:sz w:val="18"/>
                <w:szCs w:val="18"/>
                <w:lang w:val="ro-MD"/>
              </w:rPr>
              <w:lastRenderedPageBreak/>
              <w:t>2) </w:t>
            </w:r>
            <w:r w:rsidR="002E23B7" w:rsidRPr="002E23B7">
              <w:rPr>
                <w:color w:val="000000"/>
                <w:sz w:val="18"/>
                <w:szCs w:val="18"/>
                <w:lang w:val="ro-MD"/>
              </w:rPr>
              <w:t xml:space="preserve">în cazul în care o bancă </w:t>
            </w:r>
            <w:r w:rsidRPr="00775E84">
              <w:rPr>
                <w:color w:val="000000"/>
                <w:sz w:val="18"/>
                <w:szCs w:val="18"/>
                <w:lang w:val="ro-MD"/>
              </w:rPr>
              <w:t>inclusă în consolidare aplică exclusiv abordarea standardizată, ajustările generale pentru riscul de credit ale acestei bănci sunt supuse tratamentului prevăzut la punctul 4;</w:t>
            </w:r>
          </w:p>
          <w:p w14:paraId="17D5CB03" w14:textId="6B2A5FDD" w:rsidR="00775E84" w:rsidRDefault="00775E84" w:rsidP="00775E84">
            <w:pPr>
              <w:tabs>
                <w:tab w:val="left" w:pos="540"/>
              </w:tabs>
              <w:ind w:left="-43"/>
              <w:jc w:val="both"/>
              <w:rPr>
                <w:color w:val="000000"/>
                <w:sz w:val="18"/>
                <w:szCs w:val="18"/>
                <w:lang w:val="ro-MD"/>
              </w:rPr>
            </w:pPr>
            <w:r w:rsidRPr="00775E84">
              <w:rPr>
                <w:color w:val="000000"/>
                <w:sz w:val="18"/>
                <w:szCs w:val="18"/>
                <w:lang w:val="ro-MD"/>
              </w:rPr>
              <w:t>3) suma rămasă a ajustării pentru riscul de credit se alocă pro rata în conformitate cu proporția cuantumurilor ponderate la risc ale expunerilor care fac obiectul abordării standardizate și a</w:t>
            </w:r>
            <w:r w:rsidR="002E23B7">
              <w:rPr>
                <w:color w:val="000000"/>
                <w:sz w:val="18"/>
                <w:szCs w:val="18"/>
                <w:lang w:val="ro-MD"/>
              </w:rPr>
              <w:t>le</w:t>
            </w:r>
            <w:r w:rsidRPr="00775E84">
              <w:rPr>
                <w:color w:val="000000"/>
                <w:sz w:val="18"/>
                <w:szCs w:val="18"/>
                <w:lang w:val="ro-MD"/>
              </w:rPr>
              <w:t xml:space="preserve"> celor care fac obiectul abordării IRB.</w:t>
            </w:r>
          </w:p>
          <w:p w14:paraId="20CAB8EF" w14:textId="77777777" w:rsidR="00775E84" w:rsidRPr="00775E84" w:rsidRDefault="00775E84" w:rsidP="00775E84">
            <w:pPr>
              <w:tabs>
                <w:tab w:val="left" w:pos="540"/>
              </w:tabs>
              <w:ind w:left="-43"/>
              <w:jc w:val="both"/>
              <w:rPr>
                <w:color w:val="000000"/>
                <w:sz w:val="18"/>
                <w:szCs w:val="18"/>
                <w:lang w:val="ro-MD"/>
              </w:rPr>
            </w:pPr>
          </w:p>
          <w:p w14:paraId="5E8156AB" w14:textId="55E991BD" w:rsidR="00775E84" w:rsidRPr="00775E84" w:rsidRDefault="00775E84" w:rsidP="00775E84">
            <w:pPr>
              <w:tabs>
                <w:tab w:val="left" w:pos="540"/>
              </w:tabs>
              <w:ind w:left="-43"/>
              <w:jc w:val="both"/>
              <w:rPr>
                <w:b/>
                <w:bCs/>
                <w:i/>
                <w:iCs/>
                <w:color w:val="000000"/>
                <w:sz w:val="18"/>
                <w:szCs w:val="18"/>
                <w:lang w:val="ro-RO"/>
              </w:rPr>
            </w:pPr>
            <w:r w:rsidRPr="00775E84">
              <w:rPr>
                <w:b/>
                <w:bCs/>
                <w:i/>
                <w:iCs/>
                <w:color w:val="000000"/>
                <w:sz w:val="18"/>
                <w:szCs w:val="18"/>
                <w:lang w:val="ro-RO"/>
              </w:rPr>
              <w:t>Prevedere no</w:t>
            </w:r>
            <w:r w:rsidR="001D1CBF">
              <w:rPr>
                <w:b/>
                <w:bCs/>
                <w:i/>
                <w:iCs/>
                <w:color w:val="000000"/>
                <w:sz w:val="18"/>
                <w:szCs w:val="18"/>
                <w:lang w:val="ro-RO"/>
              </w:rPr>
              <w:t>uă</w:t>
            </w:r>
            <w:r w:rsidRPr="00775E84">
              <w:rPr>
                <w:b/>
                <w:bCs/>
                <w:i/>
                <w:iCs/>
                <w:color w:val="000000"/>
                <w:sz w:val="18"/>
                <w:szCs w:val="18"/>
                <w:lang w:val="ro-RO"/>
              </w:rPr>
              <w:t xml:space="preserve"> - </w:t>
            </w:r>
            <w:r w:rsidRPr="00775E84">
              <w:rPr>
                <w:color w:val="000000"/>
                <w:sz w:val="18"/>
                <w:szCs w:val="18"/>
                <w:lang w:val="ro-MD"/>
              </w:rPr>
              <w:t>Inclus</w:t>
            </w:r>
            <w:r w:rsidR="001D1CBF">
              <w:rPr>
                <w:color w:val="000000"/>
                <w:sz w:val="18"/>
                <w:szCs w:val="18"/>
                <w:lang w:val="ro-MD"/>
              </w:rPr>
              <w:t>ă</w:t>
            </w:r>
            <w:r w:rsidRPr="00775E84">
              <w:rPr>
                <w:color w:val="000000"/>
                <w:sz w:val="18"/>
                <w:szCs w:val="18"/>
                <w:lang w:val="ro-MD"/>
              </w:rPr>
              <w:t xml:space="preserve"> prin </w:t>
            </w:r>
            <w:r w:rsidRPr="00775E84">
              <w:rPr>
                <w:b/>
                <w:bCs/>
                <w:i/>
                <w:iCs/>
                <w:color w:val="000000"/>
                <w:sz w:val="18"/>
                <w:szCs w:val="18"/>
                <w:lang w:val="ro-RO"/>
              </w:rPr>
              <w:t>Proiectul HCE al BNM de modificare a Regulamentului nr.116/2018.</w:t>
            </w:r>
          </w:p>
        </w:tc>
        <w:tc>
          <w:tcPr>
            <w:tcW w:w="1229" w:type="dxa"/>
          </w:tcPr>
          <w:p w14:paraId="22E6C9F2" w14:textId="32A9416D" w:rsidR="0037189C" w:rsidRPr="003F5B3C" w:rsidRDefault="00D47212" w:rsidP="00B93C1C">
            <w:pPr>
              <w:jc w:val="both"/>
              <w:rPr>
                <w:sz w:val="18"/>
                <w:szCs w:val="18"/>
                <w:lang w:val="ro-MD"/>
              </w:rPr>
            </w:pPr>
            <w:r>
              <w:rPr>
                <w:sz w:val="18"/>
                <w:szCs w:val="18"/>
                <w:lang w:val="ro-MD"/>
              </w:rPr>
              <w:lastRenderedPageBreak/>
              <w:t>Compatibil.</w:t>
            </w:r>
          </w:p>
        </w:tc>
        <w:tc>
          <w:tcPr>
            <w:tcW w:w="5292" w:type="dxa"/>
            <w:tcBorders>
              <w:top w:val="single" w:sz="4" w:space="0" w:color="auto"/>
              <w:bottom w:val="single" w:sz="4" w:space="0" w:color="auto"/>
            </w:tcBorders>
          </w:tcPr>
          <w:p w14:paraId="0ADE1678" w14:textId="77777777" w:rsidR="0037189C" w:rsidRPr="003F5B3C" w:rsidRDefault="0037189C" w:rsidP="001A4DE8">
            <w:pPr>
              <w:rPr>
                <w:sz w:val="18"/>
                <w:szCs w:val="18"/>
                <w:lang w:val="ro-MD"/>
              </w:rPr>
            </w:pPr>
          </w:p>
        </w:tc>
      </w:tr>
      <w:tr w:rsidR="005A16C7" w:rsidRPr="006D6A9C" w14:paraId="0CCB6D0C" w14:textId="77777777" w:rsidTr="003F5B3C">
        <w:trPr>
          <w:trHeight w:val="918"/>
        </w:trPr>
        <w:tc>
          <w:tcPr>
            <w:tcW w:w="4253" w:type="dxa"/>
          </w:tcPr>
          <w:p w14:paraId="0DBE6EAC" w14:textId="77777777" w:rsidR="008D1BF3" w:rsidRPr="008D1BF3" w:rsidRDefault="008D1BF3" w:rsidP="005D7E14">
            <w:pPr>
              <w:rPr>
                <w:bCs/>
                <w:sz w:val="18"/>
                <w:szCs w:val="18"/>
                <w:lang w:val="en-US"/>
              </w:rPr>
            </w:pPr>
            <w:r w:rsidRPr="008D1BF3">
              <w:rPr>
                <w:bCs/>
                <w:sz w:val="18"/>
                <w:szCs w:val="18"/>
                <w:lang w:val="en-US"/>
              </w:rPr>
              <w:t xml:space="preserve">(4) ABE </w:t>
            </w:r>
            <w:proofErr w:type="spellStart"/>
            <w:r w:rsidRPr="008D1BF3">
              <w:rPr>
                <w:bCs/>
                <w:sz w:val="18"/>
                <w:szCs w:val="18"/>
                <w:lang w:val="en-US"/>
              </w:rPr>
              <w:t>elaborează</w:t>
            </w:r>
            <w:proofErr w:type="spellEnd"/>
            <w:r w:rsidRPr="008D1BF3">
              <w:rPr>
                <w:bCs/>
                <w:sz w:val="18"/>
                <w:szCs w:val="18"/>
                <w:lang w:val="en-US"/>
              </w:rPr>
              <w:t xml:space="preserve"> </w:t>
            </w:r>
            <w:proofErr w:type="spellStart"/>
            <w:r w:rsidRPr="008D1BF3">
              <w:rPr>
                <w:bCs/>
                <w:sz w:val="18"/>
                <w:szCs w:val="18"/>
                <w:lang w:val="en-US"/>
              </w:rPr>
              <w:t>proiecte</w:t>
            </w:r>
            <w:proofErr w:type="spellEnd"/>
            <w:r w:rsidRPr="008D1BF3">
              <w:rPr>
                <w:bCs/>
                <w:sz w:val="18"/>
                <w:szCs w:val="18"/>
                <w:lang w:val="en-US"/>
              </w:rPr>
              <w:t xml:space="preserve"> de </w:t>
            </w:r>
            <w:proofErr w:type="spellStart"/>
            <w:r w:rsidRPr="008D1BF3">
              <w:rPr>
                <w:bCs/>
                <w:sz w:val="18"/>
                <w:szCs w:val="18"/>
                <w:lang w:val="en-US"/>
              </w:rPr>
              <w:t>standarde</w:t>
            </w:r>
            <w:proofErr w:type="spellEnd"/>
            <w:r w:rsidRPr="008D1BF3">
              <w:rPr>
                <w:bCs/>
                <w:sz w:val="18"/>
                <w:szCs w:val="18"/>
                <w:lang w:val="en-US"/>
              </w:rPr>
              <w:t xml:space="preserve"> </w:t>
            </w:r>
            <w:proofErr w:type="spellStart"/>
            <w:r w:rsidRPr="008D1BF3">
              <w:rPr>
                <w:bCs/>
                <w:sz w:val="18"/>
                <w:szCs w:val="18"/>
                <w:lang w:val="en-US"/>
              </w:rPr>
              <w:t>tehnice</w:t>
            </w:r>
            <w:proofErr w:type="spellEnd"/>
            <w:r w:rsidRPr="008D1BF3">
              <w:rPr>
                <w:bCs/>
                <w:sz w:val="18"/>
                <w:szCs w:val="18"/>
                <w:lang w:val="en-US"/>
              </w:rPr>
              <w:t xml:space="preserve"> de </w:t>
            </w:r>
            <w:proofErr w:type="spellStart"/>
            <w:r w:rsidRPr="008D1BF3">
              <w:rPr>
                <w:bCs/>
                <w:sz w:val="18"/>
                <w:szCs w:val="18"/>
                <w:lang w:val="en-US"/>
              </w:rPr>
              <w:t>reglementare</w:t>
            </w:r>
            <w:proofErr w:type="spellEnd"/>
            <w:r w:rsidRPr="008D1BF3">
              <w:rPr>
                <w:bCs/>
                <w:sz w:val="18"/>
                <w:szCs w:val="18"/>
                <w:lang w:val="en-US"/>
              </w:rPr>
              <w:t xml:space="preserve"> care </w:t>
            </w:r>
            <w:proofErr w:type="spellStart"/>
            <w:r w:rsidRPr="008D1BF3">
              <w:rPr>
                <w:bCs/>
                <w:sz w:val="18"/>
                <w:szCs w:val="18"/>
                <w:lang w:val="en-US"/>
              </w:rPr>
              <w:t>să</w:t>
            </w:r>
            <w:proofErr w:type="spellEnd"/>
            <w:r w:rsidRPr="008D1BF3">
              <w:rPr>
                <w:bCs/>
                <w:sz w:val="18"/>
                <w:szCs w:val="18"/>
                <w:lang w:val="en-US"/>
              </w:rPr>
              <w:t xml:space="preserve"> </w:t>
            </w:r>
            <w:proofErr w:type="spellStart"/>
            <w:r w:rsidRPr="008D1BF3">
              <w:rPr>
                <w:bCs/>
                <w:sz w:val="18"/>
                <w:szCs w:val="18"/>
                <w:lang w:val="en-US"/>
              </w:rPr>
              <w:t>precizeze</w:t>
            </w:r>
            <w:proofErr w:type="spellEnd"/>
            <w:r w:rsidRPr="008D1BF3">
              <w:rPr>
                <w:bCs/>
                <w:sz w:val="18"/>
                <w:szCs w:val="18"/>
                <w:lang w:val="en-US"/>
              </w:rPr>
              <w:t xml:space="preserve"> </w:t>
            </w:r>
            <w:proofErr w:type="spellStart"/>
            <w:r w:rsidRPr="008D1BF3">
              <w:rPr>
                <w:bCs/>
                <w:sz w:val="18"/>
                <w:szCs w:val="18"/>
                <w:lang w:val="en-US"/>
              </w:rPr>
              <w:t>modul</w:t>
            </w:r>
            <w:proofErr w:type="spellEnd"/>
            <w:r w:rsidRPr="008D1BF3">
              <w:rPr>
                <w:bCs/>
                <w:sz w:val="18"/>
                <w:szCs w:val="18"/>
                <w:lang w:val="en-US"/>
              </w:rPr>
              <w:t xml:space="preserve"> de </w:t>
            </w:r>
            <w:proofErr w:type="spellStart"/>
            <w:r w:rsidRPr="008D1BF3">
              <w:rPr>
                <w:bCs/>
                <w:sz w:val="18"/>
                <w:szCs w:val="18"/>
                <w:lang w:val="en-US"/>
              </w:rPr>
              <w:t>calcul</w:t>
            </w:r>
            <w:proofErr w:type="spellEnd"/>
            <w:r w:rsidRPr="008D1BF3">
              <w:rPr>
                <w:bCs/>
                <w:sz w:val="18"/>
                <w:szCs w:val="18"/>
                <w:lang w:val="en-US"/>
              </w:rPr>
              <w:t xml:space="preserve"> al </w:t>
            </w:r>
            <w:proofErr w:type="spellStart"/>
            <w:r w:rsidRPr="008D1BF3">
              <w:rPr>
                <w:bCs/>
                <w:sz w:val="18"/>
                <w:szCs w:val="18"/>
                <w:lang w:val="en-US"/>
              </w:rPr>
              <w:t>ajustărilor</w:t>
            </w:r>
            <w:proofErr w:type="spellEnd"/>
            <w:r w:rsidRPr="008D1BF3">
              <w:rPr>
                <w:bCs/>
                <w:sz w:val="18"/>
                <w:szCs w:val="18"/>
                <w:lang w:val="en-US"/>
              </w:rPr>
              <w:t xml:space="preserve"> </w:t>
            </w:r>
            <w:proofErr w:type="spellStart"/>
            <w:r w:rsidRPr="008D1BF3">
              <w:rPr>
                <w:bCs/>
                <w:sz w:val="18"/>
                <w:szCs w:val="18"/>
                <w:lang w:val="en-US"/>
              </w:rPr>
              <w:t>specifice</w:t>
            </w:r>
            <w:proofErr w:type="spellEnd"/>
            <w:r w:rsidRPr="008D1BF3">
              <w:rPr>
                <w:bCs/>
                <w:sz w:val="18"/>
                <w:szCs w:val="18"/>
                <w:lang w:val="en-US"/>
              </w:rPr>
              <w:t xml:space="preserve"> </w:t>
            </w:r>
            <w:proofErr w:type="spellStart"/>
            <w:r w:rsidRPr="008D1BF3">
              <w:rPr>
                <w:bCs/>
                <w:sz w:val="18"/>
                <w:szCs w:val="18"/>
                <w:lang w:val="en-US"/>
              </w:rPr>
              <w:t>și</w:t>
            </w:r>
            <w:proofErr w:type="spellEnd"/>
            <w:r w:rsidRPr="008D1BF3">
              <w:rPr>
                <w:bCs/>
                <w:sz w:val="18"/>
                <w:szCs w:val="18"/>
                <w:lang w:val="en-US"/>
              </w:rPr>
              <w:t xml:space="preserve"> generale </w:t>
            </w:r>
            <w:proofErr w:type="spellStart"/>
            <w:r w:rsidRPr="008D1BF3">
              <w:rPr>
                <w:bCs/>
                <w:sz w:val="18"/>
                <w:szCs w:val="18"/>
                <w:lang w:val="en-US"/>
              </w:rPr>
              <w:t>pentru</w:t>
            </w:r>
            <w:proofErr w:type="spellEnd"/>
            <w:r w:rsidRPr="008D1BF3">
              <w:rPr>
                <w:bCs/>
                <w:sz w:val="18"/>
                <w:szCs w:val="18"/>
                <w:lang w:val="en-US"/>
              </w:rPr>
              <w:t xml:space="preserve"> </w:t>
            </w:r>
            <w:proofErr w:type="spellStart"/>
            <w:r w:rsidRPr="008D1BF3">
              <w:rPr>
                <w:bCs/>
                <w:sz w:val="18"/>
                <w:szCs w:val="18"/>
                <w:lang w:val="en-US"/>
              </w:rPr>
              <w:t>riscul</w:t>
            </w:r>
            <w:proofErr w:type="spellEnd"/>
            <w:r w:rsidRPr="008D1BF3">
              <w:rPr>
                <w:bCs/>
                <w:sz w:val="18"/>
                <w:szCs w:val="18"/>
                <w:lang w:val="en-US"/>
              </w:rPr>
              <w:t xml:space="preserve"> de credit </w:t>
            </w:r>
            <w:proofErr w:type="spellStart"/>
            <w:r w:rsidRPr="008D1BF3">
              <w:rPr>
                <w:bCs/>
                <w:sz w:val="18"/>
                <w:szCs w:val="18"/>
                <w:lang w:val="en-US"/>
              </w:rPr>
              <w:t>potrivit</w:t>
            </w:r>
            <w:proofErr w:type="spellEnd"/>
            <w:r w:rsidRPr="008D1BF3">
              <w:rPr>
                <w:bCs/>
                <w:sz w:val="18"/>
                <w:szCs w:val="18"/>
                <w:lang w:val="en-US"/>
              </w:rPr>
              <w:t xml:space="preserve"> </w:t>
            </w:r>
            <w:proofErr w:type="spellStart"/>
            <w:r w:rsidRPr="008D1BF3">
              <w:rPr>
                <w:bCs/>
                <w:sz w:val="18"/>
                <w:szCs w:val="18"/>
                <w:lang w:val="en-US"/>
              </w:rPr>
              <w:t>cadrului</w:t>
            </w:r>
            <w:proofErr w:type="spellEnd"/>
            <w:r w:rsidRPr="008D1BF3">
              <w:rPr>
                <w:bCs/>
                <w:sz w:val="18"/>
                <w:szCs w:val="18"/>
                <w:lang w:val="en-US"/>
              </w:rPr>
              <w:t xml:space="preserve"> </w:t>
            </w:r>
            <w:proofErr w:type="spellStart"/>
            <w:r w:rsidRPr="008D1BF3">
              <w:rPr>
                <w:bCs/>
                <w:sz w:val="18"/>
                <w:szCs w:val="18"/>
                <w:lang w:val="en-US"/>
              </w:rPr>
              <w:t>contabil</w:t>
            </w:r>
            <w:proofErr w:type="spellEnd"/>
            <w:r w:rsidRPr="008D1BF3">
              <w:rPr>
                <w:bCs/>
                <w:sz w:val="18"/>
                <w:szCs w:val="18"/>
                <w:lang w:val="en-US"/>
              </w:rPr>
              <w:t xml:space="preserve"> </w:t>
            </w:r>
            <w:proofErr w:type="spellStart"/>
            <w:r w:rsidRPr="008D1BF3">
              <w:rPr>
                <w:bCs/>
                <w:sz w:val="18"/>
                <w:szCs w:val="18"/>
                <w:lang w:val="en-US"/>
              </w:rPr>
              <w:t>aplicabil</w:t>
            </w:r>
            <w:proofErr w:type="spellEnd"/>
            <w:r w:rsidRPr="008D1BF3">
              <w:rPr>
                <w:bCs/>
                <w:sz w:val="18"/>
                <w:szCs w:val="18"/>
                <w:lang w:val="en-US"/>
              </w:rPr>
              <w:t xml:space="preserve"> </w:t>
            </w:r>
            <w:proofErr w:type="spellStart"/>
            <w:r w:rsidRPr="008D1BF3">
              <w:rPr>
                <w:bCs/>
                <w:sz w:val="18"/>
                <w:szCs w:val="18"/>
                <w:lang w:val="en-US"/>
              </w:rPr>
              <w:t>pentru</w:t>
            </w:r>
            <w:proofErr w:type="spellEnd"/>
            <w:r w:rsidRPr="008D1BF3">
              <w:rPr>
                <w:bCs/>
                <w:sz w:val="18"/>
                <w:szCs w:val="18"/>
                <w:lang w:val="en-US"/>
              </w:rPr>
              <w:t xml:space="preserve">: </w:t>
            </w:r>
          </w:p>
          <w:p w14:paraId="23E16AC3" w14:textId="77777777" w:rsidR="008D1BF3" w:rsidRPr="008D1BF3" w:rsidRDefault="008D1BF3" w:rsidP="005D7E14">
            <w:pPr>
              <w:rPr>
                <w:bCs/>
                <w:sz w:val="18"/>
                <w:szCs w:val="18"/>
                <w:lang w:val="en-US"/>
              </w:rPr>
            </w:pPr>
            <w:r w:rsidRPr="008D1BF3">
              <w:rPr>
                <w:bCs/>
                <w:sz w:val="18"/>
                <w:szCs w:val="18"/>
                <w:lang w:val="en-US"/>
              </w:rPr>
              <w:t xml:space="preserve">(a) </w:t>
            </w:r>
            <w:proofErr w:type="spellStart"/>
            <w:r w:rsidRPr="008D1BF3">
              <w:rPr>
                <w:bCs/>
                <w:sz w:val="18"/>
                <w:szCs w:val="18"/>
                <w:lang w:val="en-US"/>
              </w:rPr>
              <w:t>valoarea</w:t>
            </w:r>
            <w:proofErr w:type="spellEnd"/>
            <w:r w:rsidRPr="008D1BF3">
              <w:rPr>
                <w:bCs/>
                <w:sz w:val="18"/>
                <w:szCs w:val="18"/>
                <w:lang w:val="en-US"/>
              </w:rPr>
              <w:t xml:space="preserve"> </w:t>
            </w:r>
            <w:proofErr w:type="spellStart"/>
            <w:r w:rsidRPr="008D1BF3">
              <w:rPr>
                <w:bCs/>
                <w:sz w:val="18"/>
                <w:szCs w:val="18"/>
                <w:lang w:val="en-US"/>
              </w:rPr>
              <w:t>expunerii</w:t>
            </w:r>
            <w:proofErr w:type="spellEnd"/>
            <w:r w:rsidRPr="008D1BF3">
              <w:rPr>
                <w:bCs/>
                <w:sz w:val="18"/>
                <w:szCs w:val="18"/>
                <w:lang w:val="en-US"/>
              </w:rPr>
              <w:t xml:space="preserve"> </w:t>
            </w:r>
            <w:proofErr w:type="spellStart"/>
            <w:r w:rsidRPr="008D1BF3">
              <w:rPr>
                <w:bCs/>
                <w:sz w:val="18"/>
                <w:szCs w:val="18"/>
                <w:lang w:val="en-US"/>
              </w:rPr>
              <w:t>în</w:t>
            </w:r>
            <w:proofErr w:type="spellEnd"/>
            <w:r w:rsidRPr="008D1BF3">
              <w:rPr>
                <w:bCs/>
                <w:sz w:val="18"/>
                <w:szCs w:val="18"/>
                <w:lang w:val="en-US"/>
              </w:rPr>
              <w:t xml:space="preserve"> </w:t>
            </w:r>
            <w:proofErr w:type="spellStart"/>
            <w:r w:rsidRPr="008D1BF3">
              <w:rPr>
                <w:bCs/>
                <w:sz w:val="18"/>
                <w:szCs w:val="18"/>
                <w:lang w:val="en-US"/>
              </w:rPr>
              <w:t>cadrul</w:t>
            </w:r>
            <w:proofErr w:type="spellEnd"/>
            <w:r w:rsidRPr="008D1BF3">
              <w:rPr>
                <w:bCs/>
                <w:sz w:val="18"/>
                <w:szCs w:val="18"/>
                <w:lang w:val="en-US"/>
              </w:rPr>
              <w:t xml:space="preserve"> </w:t>
            </w:r>
            <w:proofErr w:type="spellStart"/>
            <w:r w:rsidRPr="008D1BF3">
              <w:rPr>
                <w:bCs/>
                <w:sz w:val="18"/>
                <w:szCs w:val="18"/>
                <w:lang w:val="en-US"/>
              </w:rPr>
              <w:t>abordării</w:t>
            </w:r>
            <w:proofErr w:type="spellEnd"/>
            <w:r w:rsidRPr="008D1BF3">
              <w:rPr>
                <w:bCs/>
                <w:sz w:val="18"/>
                <w:szCs w:val="18"/>
                <w:lang w:val="en-US"/>
              </w:rPr>
              <w:t xml:space="preserve"> </w:t>
            </w:r>
            <w:proofErr w:type="spellStart"/>
            <w:r w:rsidRPr="008D1BF3">
              <w:rPr>
                <w:bCs/>
                <w:sz w:val="18"/>
                <w:szCs w:val="18"/>
                <w:lang w:val="en-US"/>
              </w:rPr>
              <w:t>standardizată</w:t>
            </w:r>
            <w:proofErr w:type="spellEnd"/>
            <w:r w:rsidRPr="008D1BF3">
              <w:rPr>
                <w:bCs/>
                <w:sz w:val="18"/>
                <w:szCs w:val="18"/>
                <w:lang w:val="en-US"/>
              </w:rPr>
              <w:t xml:space="preserve"> </w:t>
            </w:r>
            <w:proofErr w:type="spellStart"/>
            <w:r w:rsidRPr="008D1BF3">
              <w:rPr>
                <w:bCs/>
                <w:sz w:val="18"/>
                <w:szCs w:val="18"/>
                <w:lang w:val="en-US"/>
              </w:rPr>
              <w:t>prevăzută</w:t>
            </w:r>
            <w:proofErr w:type="spellEnd"/>
            <w:r w:rsidRPr="008D1BF3">
              <w:rPr>
                <w:bCs/>
                <w:sz w:val="18"/>
                <w:szCs w:val="18"/>
                <w:lang w:val="en-US"/>
              </w:rPr>
              <w:t xml:space="preserve"> la </w:t>
            </w:r>
            <w:proofErr w:type="spellStart"/>
            <w:r w:rsidRPr="008D1BF3">
              <w:rPr>
                <w:bCs/>
                <w:sz w:val="18"/>
                <w:szCs w:val="18"/>
                <w:lang w:val="en-US"/>
              </w:rPr>
              <w:t>articolul</w:t>
            </w:r>
            <w:proofErr w:type="spellEnd"/>
            <w:r w:rsidRPr="008D1BF3">
              <w:rPr>
                <w:bCs/>
                <w:sz w:val="18"/>
                <w:szCs w:val="18"/>
                <w:lang w:val="en-US"/>
              </w:rPr>
              <w:t xml:space="preserve"> </w:t>
            </w:r>
            <w:proofErr w:type="gramStart"/>
            <w:r w:rsidRPr="008D1BF3">
              <w:rPr>
                <w:bCs/>
                <w:sz w:val="18"/>
                <w:szCs w:val="18"/>
                <w:lang w:val="en-US"/>
              </w:rPr>
              <w:t>111;</w:t>
            </w:r>
            <w:proofErr w:type="gramEnd"/>
            <w:r w:rsidRPr="008D1BF3">
              <w:rPr>
                <w:bCs/>
                <w:sz w:val="18"/>
                <w:szCs w:val="18"/>
                <w:lang w:val="en-US"/>
              </w:rPr>
              <w:t xml:space="preserve"> </w:t>
            </w:r>
          </w:p>
          <w:p w14:paraId="6359FFE7" w14:textId="77777777" w:rsidR="008D1BF3" w:rsidRPr="008D1BF3" w:rsidRDefault="008D1BF3" w:rsidP="005D7E14">
            <w:pPr>
              <w:rPr>
                <w:bCs/>
                <w:sz w:val="18"/>
                <w:szCs w:val="18"/>
                <w:lang w:val="en-US"/>
              </w:rPr>
            </w:pPr>
            <w:r w:rsidRPr="008D1BF3">
              <w:rPr>
                <w:bCs/>
                <w:sz w:val="18"/>
                <w:szCs w:val="18"/>
                <w:lang w:val="en-US"/>
              </w:rPr>
              <w:t xml:space="preserve">(b) </w:t>
            </w:r>
            <w:proofErr w:type="spellStart"/>
            <w:r w:rsidRPr="008D1BF3">
              <w:rPr>
                <w:bCs/>
                <w:sz w:val="18"/>
                <w:szCs w:val="18"/>
                <w:lang w:val="en-US"/>
              </w:rPr>
              <w:t>valoarea</w:t>
            </w:r>
            <w:proofErr w:type="spellEnd"/>
            <w:r w:rsidRPr="008D1BF3">
              <w:rPr>
                <w:bCs/>
                <w:sz w:val="18"/>
                <w:szCs w:val="18"/>
                <w:lang w:val="en-US"/>
              </w:rPr>
              <w:t xml:space="preserve"> </w:t>
            </w:r>
            <w:proofErr w:type="spellStart"/>
            <w:r w:rsidRPr="008D1BF3">
              <w:rPr>
                <w:bCs/>
                <w:sz w:val="18"/>
                <w:szCs w:val="18"/>
                <w:lang w:val="en-US"/>
              </w:rPr>
              <w:t>expunerii</w:t>
            </w:r>
            <w:proofErr w:type="spellEnd"/>
            <w:r w:rsidRPr="008D1BF3">
              <w:rPr>
                <w:bCs/>
                <w:sz w:val="18"/>
                <w:szCs w:val="18"/>
                <w:lang w:val="en-US"/>
              </w:rPr>
              <w:t xml:space="preserve"> </w:t>
            </w:r>
            <w:proofErr w:type="spellStart"/>
            <w:r w:rsidRPr="008D1BF3">
              <w:rPr>
                <w:bCs/>
                <w:sz w:val="18"/>
                <w:szCs w:val="18"/>
                <w:lang w:val="en-US"/>
              </w:rPr>
              <w:t>în</w:t>
            </w:r>
            <w:proofErr w:type="spellEnd"/>
            <w:r w:rsidRPr="008D1BF3">
              <w:rPr>
                <w:bCs/>
                <w:sz w:val="18"/>
                <w:szCs w:val="18"/>
                <w:lang w:val="en-US"/>
              </w:rPr>
              <w:t xml:space="preserve"> </w:t>
            </w:r>
            <w:proofErr w:type="spellStart"/>
            <w:r w:rsidRPr="008D1BF3">
              <w:rPr>
                <w:bCs/>
                <w:sz w:val="18"/>
                <w:szCs w:val="18"/>
                <w:lang w:val="en-US"/>
              </w:rPr>
              <w:t>cadrul</w:t>
            </w:r>
            <w:proofErr w:type="spellEnd"/>
            <w:r w:rsidRPr="008D1BF3">
              <w:rPr>
                <w:bCs/>
                <w:sz w:val="18"/>
                <w:szCs w:val="18"/>
                <w:lang w:val="en-US"/>
              </w:rPr>
              <w:t xml:space="preserve"> </w:t>
            </w:r>
            <w:proofErr w:type="spellStart"/>
            <w:r w:rsidRPr="008D1BF3">
              <w:rPr>
                <w:bCs/>
                <w:sz w:val="18"/>
                <w:szCs w:val="18"/>
                <w:lang w:val="en-US"/>
              </w:rPr>
              <w:t>abordării</w:t>
            </w:r>
            <w:proofErr w:type="spellEnd"/>
            <w:r w:rsidRPr="008D1BF3">
              <w:rPr>
                <w:bCs/>
                <w:sz w:val="18"/>
                <w:szCs w:val="18"/>
                <w:lang w:val="en-US"/>
              </w:rPr>
              <w:t xml:space="preserve"> IRB </w:t>
            </w:r>
            <w:proofErr w:type="spellStart"/>
            <w:r w:rsidRPr="008D1BF3">
              <w:rPr>
                <w:bCs/>
                <w:sz w:val="18"/>
                <w:szCs w:val="18"/>
                <w:lang w:val="en-US"/>
              </w:rPr>
              <w:t>menţionată</w:t>
            </w:r>
            <w:proofErr w:type="spellEnd"/>
            <w:r w:rsidRPr="008D1BF3">
              <w:rPr>
                <w:bCs/>
                <w:sz w:val="18"/>
                <w:szCs w:val="18"/>
                <w:lang w:val="en-US"/>
              </w:rPr>
              <w:t xml:space="preserve"> la </w:t>
            </w:r>
            <w:proofErr w:type="spellStart"/>
            <w:r w:rsidRPr="008D1BF3">
              <w:rPr>
                <w:bCs/>
                <w:sz w:val="18"/>
                <w:szCs w:val="18"/>
                <w:lang w:val="en-US"/>
              </w:rPr>
              <w:t>articolele</w:t>
            </w:r>
            <w:proofErr w:type="spellEnd"/>
            <w:r w:rsidRPr="008D1BF3">
              <w:rPr>
                <w:bCs/>
                <w:sz w:val="18"/>
                <w:szCs w:val="18"/>
                <w:lang w:val="en-US"/>
              </w:rPr>
              <w:t xml:space="preserve"> </w:t>
            </w:r>
            <w:proofErr w:type="gramStart"/>
            <w:r w:rsidRPr="008D1BF3">
              <w:rPr>
                <w:bCs/>
                <w:sz w:val="18"/>
                <w:szCs w:val="18"/>
                <w:lang w:val="en-US"/>
              </w:rPr>
              <w:t>166-168;</w:t>
            </w:r>
            <w:proofErr w:type="gramEnd"/>
            <w:r w:rsidRPr="008D1BF3">
              <w:rPr>
                <w:bCs/>
                <w:sz w:val="18"/>
                <w:szCs w:val="18"/>
                <w:lang w:val="en-US"/>
              </w:rPr>
              <w:t xml:space="preserve"> </w:t>
            </w:r>
          </w:p>
          <w:p w14:paraId="3B9F4EE8" w14:textId="77777777" w:rsidR="008D1BF3" w:rsidRPr="008D1BF3" w:rsidRDefault="008D1BF3" w:rsidP="005D7E14">
            <w:pPr>
              <w:rPr>
                <w:bCs/>
                <w:sz w:val="18"/>
                <w:szCs w:val="18"/>
                <w:lang w:val="en-US"/>
              </w:rPr>
            </w:pPr>
            <w:r w:rsidRPr="008D1BF3">
              <w:rPr>
                <w:bCs/>
                <w:sz w:val="18"/>
                <w:szCs w:val="18"/>
                <w:lang w:val="en-US"/>
              </w:rPr>
              <w:t xml:space="preserve">(c) </w:t>
            </w:r>
            <w:proofErr w:type="spellStart"/>
            <w:r w:rsidRPr="008D1BF3">
              <w:rPr>
                <w:bCs/>
                <w:sz w:val="18"/>
                <w:szCs w:val="18"/>
                <w:lang w:val="en-US"/>
              </w:rPr>
              <w:t>tratamentul</w:t>
            </w:r>
            <w:proofErr w:type="spellEnd"/>
            <w:r w:rsidRPr="008D1BF3">
              <w:rPr>
                <w:bCs/>
                <w:sz w:val="18"/>
                <w:szCs w:val="18"/>
                <w:lang w:val="en-US"/>
              </w:rPr>
              <w:t xml:space="preserve"> </w:t>
            </w:r>
            <w:proofErr w:type="spellStart"/>
            <w:r w:rsidRPr="008D1BF3">
              <w:rPr>
                <w:bCs/>
                <w:sz w:val="18"/>
                <w:szCs w:val="18"/>
                <w:lang w:val="en-US"/>
              </w:rPr>
              <w:t>cuantumurilor</w:t>
            </w:r>
            <w:proofErr w:type="spellEnd"/>
            <w:r w:rsidRPr="008D1BF3">
              <w:rPr>
                <w:bCs/>
                <w:sz w:val="18"/>
                <w:szCs w:val="18"/>
                <w:lang w:val="en-US"/>
              </w:rPr>
              <w:t xml:space="preserve"> </w:t>
            </w:r>
            <w:proofErr w:type="spellStart"/>
            <w:r w:rsidRPr="008D1BF3">
              <w:rPr>
                <w:bCs/>
                <w:sz w:val="18"/>
                <w:szCs w:val="18"/>
                <w:lang w:val="en-US"/>
              </w:rPr>
              <w:t>pierderilor</w:t>
            </w:r>
            <w:proofErr w:type="spellEnd"/>
            <w:r w:rsidRPr="008D1BF3">
              <w:rPr>
                <w:bCs/>
                <w:sz w:val="18"/>
                <w:szCs w:val="18"/>
                <w:lang w:val="en-US"/>
              </w:rPr>
              <w:t xml:space="preserve"> </w:t>
            </w:r>
            <w:proofErr w:type="spellStart"/>
            <w:r w:rsidRPr="008D1BF3">
              <w:rPr>
                <w:bCs/>
                <w:sz w:val="18"/>
                <w:szCs w:val="18"/>
                <w:lang w:val="en-US"/>
              </w:rPr>
              <w:t>așteptate</w:t>
            </w:r>
            <w:proofErr w:type="spellEnd"/>
            <w:r w:rsidRPr="008D1BF3">
              <w:rPr>
                <w:bCs/>
                <w:sz w:val="18"/>
                <w:szCs w:val="18"/>
                <w:lang w:val="en-US"/>
              </w:rPr>
              <w:t xml:space="preserve"> </w:t>
            </w:r>
            <w:proofErr w:type="spellStart"/>
            <w:r w:rsidRPr="008D1BF3">
              <w:rPr>
                <w:bCs/>
                <w:sz w:val="18"/>
                <w:szCs w:val="18"/>
                <w:lang w:val="en-US"/>
              </w:rPr>
              <w:t>menţionat</w:t>
            </w:r>
            <w:proofErr w:type="spellEnd"/>
            <w:r w:rsidRPr="008D1BF3">
              <w:rPr>
                <w:bCs/>
                <w:sz w:val="18"/>
                <w:szCs w:val="18"/>
                <w:lang w:val="en-US"/>
              </w:rPr>
              <w:t xml:space="preserve"> la </w:t>
            </w:r>
            <w:proofErr w:type="spellStart"/>
            <w:r w:rsidRPr="008D1BF3">
              <w:rPr>
                <w:bCs/>
                <w:sz w:val="18"/>
                <w:szCs w:val="18"/>
                <w:lang w:val="en-US"/>
              </w:rPr>
              <w:t>articolul</w:t>
            </w:r>
            <w:proofErr w:type="spellEnd"/>
            <w:r w:rsidRPr="008D1BF3">
              <w:rPr>
                <w:bCs/>
                <w:sz w:val="18"/>
                <w:szCs w:val="18"/>
                <w:lang w:val="en-US"/>
              </w:rPr>
              <w:t xml:space="preserve"> </w:t>
            </w:r>
            <w:proofErr w:type="gramStart"/>
            <w:r w:rsidRPr="008D1BF3">
              <w:rPr>
                <w:bCs/>
                <w:sz w:val="18"/>
                <w:szCs w:val="18"/>
                <w:lang w:val="en-US"/>
              </w:rPr>
              <w:t>159;</w:t>
            </w:r>
            <w:proofErr w:type="gramEnd"/>
            <w:r w:rsidRPr="008D1BF3">
              <w:rPr>
                <w:bCs/>
                <w:sz w:val="18"/>
                <w:szCs w:val="18"/>
                <w:lang w:val="en-US"/>
              </w:rPr>
              <w:t xml:space="preserve"> </w:t>
            </w:r>
          </w:p>
          <w:p w14:paraId="2B53DCBF" w14:textId="77777777" w:rsidR="008D1BF3" w:rsidRPr="008D1BF3" w:rsidRDefault="008D1BF3" w:rsidP="005D7E14">
            <w:pPr>
              <w:rPr>
                <w:bCs/>
                <w:sz w:val="18"/>
                <w:szCs w:val="18"/>
                <w:lang w:val="en-US"/>
              </w:rPr>
            </w:pPr>
            <w:r w:rsidRPr="008D1BF3">
              <w:rPr>
                <w:bCs/>
                <w:sz w:val="18"/>
                <w:szCs w:val="18"/>
                <w:lang w:val="en-US"/>
              </w:rPr>
              <w:t xml:space="preserve">(d) </w:t>
            </w:r>
            <w:proofErr w:type="spellStart"/>
            <w:r w:rsidRPr="008D1BF3">
              <w:rPr>
                <w:bCs/>
                <w:sz w:val="18"/>
                <w:szCs w:val="18"/>
                <w:lang w:val="en-US"/>
              </w:rPr>
              <w:t>valoarea</w:t>
            </w:r>
            <w:proofErr w:type="spellEnd"/>
            <w:r w:rsidRPr="008D1BF3">
              <w:rPr>
                <w:bCs/>
                <w:sz w:val="18"/>
                <w:szCs w:val="18"/>
                <w:lang w:val="en-US"/>
              </w:rPr>
              <w:t xml:space="preserve"> </w:t>
            </w:r>
            <w:proofErr w:type="spellStart"/>
            <w:r w:rsidRPr="008D1BF3">
              <w:rPr>
                <w:bCs/>
                <w:sz w:val="18"/>
                <w:szCs w:val="18"/>
                <w:lang w:val="en-US"/>
              </w:rPr>
              <w:t>expunerii</w:t>
            </w:r>
            <w:proofErr w:type="spellEnd"/>
            <w:r w:rsidRPr="008D1BF3">
              <w:rPr>
                <w:bCs/>
                <w:sz w:val="18"/>
                <w:szCs w:val="18"/>
                <w:lang w:val="en-US"/>
              </w:rPr>
              <w:t xml:space="preserve"> </w:t>
            </w:r>
            <w:proofErr w:type="spellStart"/>
            <w:r w:rsidRPr="008D1BF3">
              <w:rPr>
                <w:bCs/>
                <w:sz w:val="18"/>
                <w:szCs w:val="18"/>
                <w:lang w:val="en-US"/>
              </w:rPr>
              <w:t>pentru</w:t>
            </w:r>
            <w:proofErr w:type="spellEnd"/>
            <w:r w:rsidRPr="008D1BF3">
              <w:rPr>
                <w:bCs/>
                <w:sz w:val="18"/>
                <w:szCs w:val="18"/>
                <w:lang w:val="en-US"/>
              </w:rPr>
              <w:t xml:space="preserve"> </w:t>
            </w:r>
            <w:proofErr w:type="spellStart"/>
            <w:r w:rsidRPr="008D1BF3">
              <w:rPr>
                <w:bCs/>
                <w:sz w:val="18"/>
                <w:szCs w:val="18"/>
                <w:lang w:val="en-US"/>
              </w:rPr>
              <w:t>calculul</w:t>
            </w:r>
            <w:proofErr w:type="spellEnd"/>
            <w:r w:rsidRPr="008D1BF3">
              <w:rPr>
                <w:bCs/>
                <w:sz w:val="18"/>
                <w:szCs w:val="18"/>
                <w:lang w:val="en-US"/>
              </w:rPr>
              <w:t xml:space="preserve"> </w:t>
            </w:r>
            <w:proofErr w:type="spellStart"/>
            <w:r w:rsidRPr="008D1BF3">
              <w:rPr>
                <w:bCs/>
                <w:sz w:val="18"/>
                <w:szCs w:val="18"/>
                <w:lang w:val="en-US"/>
              </w:rPr>
              <w:t>cuantumurilor</w:t>
            </w:r>
            <w:proofErr w:type="spellEnd"/>
            <w:r w:rsidRPr="008D1BF3">
              <w:rPr>
                <w:bCs/>
                <w:sz w:val="18"/>
                <w:szCs w:val="18"/>
                <w:lang w:val="en-US"/>
              </w:rPr>
              <w:t xml:space="preserve"> </w:t>
            </w:r>
            <w:proofErr w:type="spellStart"/>
            <w:r w:rsidRPr="008D1BF3">
              <w:rPr>
                <w:bCs/>
                <w:sz w:val="18"/>
                <w:szCs w:val="18"/>
                <w:lang w:val="en-US"/>
              </w:rPr>
              <w:t>ponderate</w:t>
            </w:r>
            <w:proofErr w:type="spellEnd"/>
            <w:r w:rsidRPr="008D1BF3">
              <w:rPr>
                <w:bCs/>
                <w:sz w:val="18"/>
                <w:szCs w:val="18"/>
                <w:lang w:val="en-US"/>
              </w:rPr>
              <w:t xml:space="preserve"> la </w:t>
            </w:r>
            <w:proofErr w:type="spellStart"/>
            <w:r w:rsidRPr="008D1BF3">
              <w:rPr>
                <w:bCs/>
                <w:sz w:val="18"/>
                <w:szCs w:val="18"/>
                <w:lang w:val="en-US"/>
              </w:rPr>
              <w:t>risc</w:t>
            </w:r>
            <w:proofErr w:type="spellEnd"/>
            <w:r w:rsidRPr="008D1BF3">
              <w:rPr>
                <w:bCs/>
                <w:sz w:val="18"/>
                <w:szCs w:val="18"/>
                <w:lang w:val="en-US"/>
              </w:rPr>
              <w:t xml:space="preserve"> ale </w:t>
            </w:r>
            <w:proofErr w:type="spellStart"/>
            <w:r w:rsidRPr="008D1BF3">
              <w:rPr>
                <w:bCs/>
                <w:sz w:val="18"/>
                <w:szCs w:val="18"/>
                <w:lang w:val="en-US"/>
              </w:rPr>
              <w:t>expunerilor</w:t>
            </w:r>
            <w:proofErr w:type="spellEnd"/>
            <w:r w:rsidRPr="008D1BF3">
              <w:rPr>
                <w:bCs/>
                <w:sz w:val="18"/>
                <w:szCs w:val="18"/>
                <w:lang w:val="en-US"/>
              </w:rPr>
              <w:t xml:space="preserve"> </w:t>
            </w:r>
            <w:proofErr w:type="spellStart"/>
            <w:r w:rsidRPr="008D1BF3">
              <w:rPr>
                <w:bCs/>
                <w:sz w:val="18"/>
                <w:szCs w:val="18"/>
                <w:lang w:val="en-US"/>
              </w:rPr>
              <w:t>pentru</w:t>
            </w:r>
            <w:proofErr w:type="spellEnd"/>
            <w:r w:rsidRPr="008D1BF3">
              <w:rPr>
                <w:bCs/>
                <w:sz w:val="18"/>
                <w:szCs w:val="18"/>
                <w:lang w:val="en-US"/>
              </w:rPr>
              <w:t xml:space="preserve"> </w:t>
            </w:r>
            <w:proofErr w:type="spellStart"/>
            <w:r w:rsidRPr="008D1BF3">
              <w:rPr>
                <w:bCs/>
                <w:sz w:val="18"/>
                <w:szCs w:val="18"/>
                <w:lang w:val="en-US"/>
              </w:rPr>
              <w:t>poziţii</w:t>
            </w:r>
            <w:proofErr w:type="spellEnd"/>
            <w:r w:rsidRPr="008D1BF3">
              <w:rPr>
                <w:bCs/>
                <w:sz w:val="18"/>
                <w:szCs w:val="18"/>
                <w:lang w:val="en-US"/>
              </w:rPr>
              <w:t xml:space="preserve"> din </w:t>
            </w:r>
            <w:proofErr w:type="spellStart"/>
            <w:r w:rsidRPr="008D1BF3">
              <w:rPr>
                <w:bCs/>
                <w:sz w:val="18"/>
                <w:szCs w:val="18"/>
                <w:lang w:val="en-US"/>
              </w:rPr>
              <w:t>securitizare</w:t>
            </w:r>
            <w:proofErr w:type="spellEnd"/>
            <w:r w:rsidRPr="008D1BF3">
              <w:rPr>
                <w:bCs/>
                <w:sz w:val="18"/>
                <w:szCs w:val="18"/>
                <w:lang w:val="en-US"/>
              </w:rPr>
              <w:t xml:space="preserve"> </w:t>
            </w:r>
            <w:proofErr w:type="spellStart"/>
            <w:r w:rsidRPr="008D1BF3">
              <w:rPr>
                <w:bCs/>
                <w:sz w:val="18"/>
                <w:szCs w:val="18"/>
                <w:lang w:val="en-US"/>
              </w:rPr>
              <w:t>menţionată</w:t>
            </w:r>
            <w:proofErr w:type="spellEnd"/>
            <w:r w:rsidRPr="008D1BF3">
              <w:rPr>
                <w:bCs/>
                <w:sz w:val="18"/>
                <w:szCs w:val="18"/>
                <w:lang w:val="en-US"/>
              </w:rPr>
              <w:t xml:space="preserve"> la </w:t>
            </w:r>
            <w:proofErr w:type="spellStart"/>
            <w:r w:rsidRPr="008D1BF3">
              <w:rPr>
                <w:bCs/>
                <w:sz w:val="18"/>
                <w:szCs w:val="18"/>
                <w:lang w:val="en-US"/>
              </w:rPr>
              <w:t>articolul</w:t>
            </w:r>
            <w:proofErr w:type="spellEnd"/>
            <w:r w:rsidRPr="008D1BF3">
              <w:rPr>
                <w:bCs/>
                <w:sz w:val="18"/>
                <w:szCs w:val="18"/>
                <w:lang w:val="en-US"/>
              </w:rPr>
              <w:t xml:space="preserve"> 246 </w:t>
            </w:r>
            <w:proofErr w:type="spellStart"/>
            <w:r w:rsidRPr="008D1BF3">
              <w:rPr>
                <w:bCs/>
                <w:sz w:val="18"/>
                <w:szCs w:val="18"/>
                <w:lang w:val="en-US"/>
              </w:rPr>
              <w:t>și</w:t>
            </w:r>
            <w:proofErr w:type="spellEnd"/>
            <w:r w:rsidRPr="008D1BF3">
              <w:rPr>
                <w:bCs/>
                <w:sz w:val="18"/>
                <w:szCs w:val="18"/>
                <w:lang w:val="en-US"/>
              </w:rPr>
              <w:t xml:space="preserve"> </w:t>
            </w:r>
            <w:proofErr w:type="gramStart"/>
            <w:r w:rsidRPr="008D1BF3">
              <w:rPr>
                <w:bCs/>
                <w:sz w:val="18"/>
                <w:szCs w:val="18"/>
                <w:lang w:val="en-US"/>
              </w:rPr>
              <w:t>266;</w:t>
            </w:r>
            <w:proofErr w:type="gramEnd"/>
            <w:r w:rsidRPr="008D1BF3">
              <w:rPr>
                <w:bCs/>
                <w:sz w:val="18"/>
                <w:szCs w:val="18"/>
                <w:lang w:val="en-US"/>
              </w:rPr>
              <w:t xml:space="preserve"> </w:t>
            </w:r>
          </w:p>
          <w:p w14:paraId="6101B724" w14:textId="77777777" w:rsidR="00DB5AA7" w:rsidRDefault="008D1BF3" w:rsidP="005D7E14">
            <w:pPr>
              <w:rPr>
                <w:bCs/>
                <w:sz w:val="18"/>
                <w:szCs w:val="18"/>
                <w:lang w:val="en-US"/>
              </w:rPr>
            </w:pPr>
            <w:r w:rsidRPr="008D1BF3">
              <w:rPr>
                <w:bCs/>
                <w:sz w:val="18"/>
                <w:szCs w:val="18"/>
                <w:lang w:val="en-US"/>
              </w:rPr>
              <w:t xml:space="preserve">(e) </w:t>
            </w:r>
            <w:proofErr w:type="spellStart"/>
            <w:r w:rsidRPr="008D1BF3">
              <w:rPr>
                <w:bCs/>
                <w:sz w:val="18"/>
                <w:szCs w:val="18"/>
                <w:lang w:val="en-US"/>
              </w:rPr>
              <w:t>determinarea</w:t>
            </w:r>
            <w:proofErr w:type="spellEnd"/>
            <w:r w:rsidRPr="008D1BF3">
              <w:rPr>
                <w:bCs/>
                <w:sz w:val="18"/>
                <w:szCs w:val="18"/>
                <w:lang w:val="en-US"/>
              </w:rPr>
              <w:t xml:space="preserve"> </w:t>
            </w:r>
            <w:proofErr w:type="spellStart"/>
            <w:r w:rsidRPr="008D1BF3">
              <w:rPr>
                <w:bCs/>
                <w:sz w:val="18"/>
                <w:szCs w:val="18"/>
                <w:lang w:val="en-US"/>
              </w:rPr>
              <w:t>stării</w:t>
            </w:r>
            <w:proofErr w:type="spellEnd"/>
            <w:r w:rsidRPr="008D1BF3">
              <w:rPr>
                <w:bCs/>
                <w:sz w:val="18"/>
                <w:szCs w:val="18"/>
                <w:lang w:val="en-US"/>
              </w:rPr>
              <w:t xml:space="preserve"> de </w:t>
            </w:r>
            <w:proofErr w:type="spellStart"/>
            <w:r w:rsidRPr="008D1BF3">
              <w:rPr>
                <w:bCs/>
                <w:sz w:val="18"/>
                <w:szCs w:val="18"/>
                <w:lang w:val="en-US"/>
              </w:rPr>
              <w:t>nerambursare</w:t>
            </w:r>
            <w:proofErr w:type="spellEnd"/>
            <w:r w:rsidRPr="008D1BF3">
              <w:rPr>
                <w:bCs/>
                <w:sz w:val="18"/>
                <w:szCs w:val="18"/>
                <w:lang w:val="en-US"/>
              </w:rPr>
              <w:t xml:space="preserve"> </w:t>
            </w:r>
            <w:proofErr w:type="spellStart"/>
            <w:r w:rsidRPr="008D1BF3">
              <w:rPr>
                <w:bCs/>
                <w:sz w:val="18"/>
                <w:szCs w:val="18"/>
                <w:lang w:val="en-US"/>
              </w:rPr>
              <w:t>în</w:t>
            </w:r>
            <w:proofErr w:type="spellEnd"/>
            <w:r w:rsidRPr="008D1BF3">
              <w:rPr>
                <w:bCs/>
                <w:sz w:val="18"/>
                <w:szCs w:val="18"/>
                <w:lang w:val="en-US"/>
              </w:rPr>
              <w:t xml:space="preserve"> </w:t>
            </w:r>
            <w:proofErr w:type="spellStart"/>
            <w:r w:rsidRPr="008D1BF3">
              <w:rPr>
                <w:bCs/>
                <w:sz w:val="18"/>
                <w:szCs w:val="18"/>
                <w:lang w:val="en-US"/>
              </w:rPr>
              <w:t>temeiul</w:t>
            </w:r>
            <w:proofErr w:type="spellEnd"/>
            <w:r w:rsidRPr="008D1BF3">
              <w:rPr>
                <w:bCs/>
                <w:sz w:val="18"/>
                <w:szCs w:val="18"/>
                <w:lang w:val="en-US"/>
              </w:rPr>
              <w:t xml:space="preserve"> </w:t>
            </w:r>
            <w:proofErr w:type="spellStart"/>
            <w:r w:rsidRPr="008D1BF3">
              <w:rPr>
                <w:bCs/>
                <w:sz w:val="18"/>
                <w:szCs w:val="18"/>
                <w:lang w:val="en-US"/>
              </w:rPr>
              <w:t>articolului</w:t>
            </w:r>
            <w:proofErr w:type="spellEnd"/>
            <w:r w:rsidRPr="008D1BF3">
              <w:rPr>
                <w:bCs/>
                <w:sz w:val="18"/>
                <w:szCs w:val="18"/>
                <w:lang w:val="en-US"/>
              </w:rPr>
              <w:t xml:space="preserve"> </w:t>
            </w:r>
            <w:proofErr w:type="gramStart"/>
            <w:r w:rsidRPr="008D1BF3">
              <w:rPr>
                <w:bCs/>
                <w:sz w:val="18"/>
                <w:szCs w:val="18"/>
                <w:lang w:val="en-US"/>
              </w:rPr>
              <w:t>178;</w:t>
            </w:r>
            <w:proofErr w:type="gramEnd"/>
            <w:r w:rsidRPr="008D1BF3">
              <w:rPr>
                <w:bCs/>
                <w:sz w:val="18"/>
                <w:szCs w:val="18"/>
                <w:lang w:val="en-US"/>
              </w:rPr>
              <w:t xml:space="preserve"> </w:t>
            </w:r>
          </w:p>
          <w:p w14:paraId="3074D55E" w14:textId="344BF4F9" w:rsidR="008D1BF3" w:rsidRPr="008D1BF3" w:rsidRDefault="008D1BF3" w:rsidP="005D7E14">
            <w:pPr>
              <w:rPr>
                <w:bCs/>
                <w:sz w:val="18"/>
                <w:szCs w:val="18"/>
                <w:lang w:val="en-US"/>
              </w:rPr>
            </w:pPr>
            <w:r w:rsidRPr="008D1BF3">
              <w:rPr>
                <w:bCs/>
                <w:sz w:val="18"/>
                <w:szCs w:val="18"/>
                <w:lang w:val="en-US"/>
              </w:rPr>
              <w:t xml:space="preserve">ABE </w:t>
            </w:r>
            <w:proofErr w:type="spellStart"/>
            <w:r w:rsidRPr="008D1BF3">
              <w:rPr>
                <w:bCs/>
                <w:sz w:val="18"/>
                <w:szCs w:val="18"/>
                <w:lang w:val="en-US"/>
              </w:rPr>
              <w:t>transmite</w:t>
            </w:r>
            <w:proofErr w:type="spellEnd"/>
            <w:r w:rsidRPr="008D1BF3">
              <w:rPr>
                <w:bCs/>
                <w:sz w:val="18"/>
                <w:szCs w:val="18"/>
                <w:lang w:val="en-US"/>
              </w:rPr>
              <w:t xml:space="preserve"> </w:t>
            </w:r>
            <w:proofErr w:type="spellStart"/>
            <w:r w:rsidRPr="008D1BF3">
              <w:rPr>
                <w:bCs/>
                <w:sz w:val="18"/>
                <w:szCs w:val="18"/>
                <w:lang w:val="en-US"/>
              </w:rPr>
              <w:t>Comisiei</w:t>
            </w:r>
            <w:proofErr w:type="spellEnd"/>
            <w:r w:rsidRPr="008D1BF3">
              <w:rPr>
                <w:bCs/>
                <w:sz w:val="18"/>
                <w:szCs w:val="18"/>
                <w:lang w:val="en-US"/>
              </w:rPr>
              <w:t xml:space="preserve"> </w:t>
            </w:r>
            <w:proofErr w:type="spellStart"/>
            <w:r w:rsidRPr="008D1BF3">
              <w:rPr>
                <w:bCs/>
                <w:sz w:val="18"/>
                <w:szCs w:val="18"/>
                <w:lang w:val="en-US"/>
              </w:rPr>
              <w:t>aceste</w:t>
            </w:r>
            <w:proofErr w:type="spellEnd"/>
            <w:r w:rsidRPr="008D1BF3">
              <w:rPr>
                <w:bCs/>
                <w:sz w:val="18"/>
                <w:szCs w:val="18"/>
                <w:lang w:val="en-US"/>
              </w:rPr>
              <w:t xml:space="preserve"> </w:t>
            </w:r>
            <w:proofErr w:type="spellStart"/>
            <w:r w:rsidRPr="008D1BF3">
              <w:rPr>
                <w:bCs/>
                <w:sz w:val="18"/>
                <w:szCs w:val="18"/>
                <w:lang w:val="en-US"/>
              </w:rPr>
              <w:t>proiecte</w:t>
            </w:r>
            <w:proofErr w:type="spellEnd"/>
            <w:r w:rsidRPr="008D1BF3">
              <w:rPr>
                <w:bCs/>
                <w:sz w:val="18"/>
                <w:szCs w:val="18"/>
                <w:lang w:val="en-US"/>
              </w:rPr>
              <w:t xml:space="preserve"> de </w:t>
            </w:r>
            <w:proofErr w:type="spellStart"/>
            <w:r w:rsidRPr="008D1BF3">
              <w:rPr>
                <w:bCs/>
                <w:sz w:val="18"/>
                <w:szCs w:val="18"/>
                <w:lang w:val="en-US"/>
              </w:rPr>
              <w:t>standarde</w:t>
            </w:r>
            <w:proofErr w:type="spellEnd"/>
            <w:r w:rsidRPr="008D1BF3">
              <w:rPr>
                <w:bCs/>
                <w:sz w:val="18"/>
                <w:szCs w:val="18"/>
                <w:lang w:val="en-US"/>
              </w:rPr>
              <w:t xml:space="preserve"> </w:t>
            </w:r>
            <w:proofErr w:type="spellStart"/>
            <w:r w:rsidRPr="008D1BF3">
              <w:rPr>
                <w:bCs/>
                <w:sz w:val="18"/>
                <w:szCs w:val="18"/>
                <w:lang w:val="en-US"/>
              </w:rPr>
              <w:t>tehnice</w:t>
            </w:r>
            <w:proofErr w:type="spellEnd"/>
            <w:r w:rsidRPr="008D1BF3">
              <w:rPr>
                <w:bCs/>
                <w:sz w:val="18"/>
                <w:szCs w:val="18"/>
                <w:lang w:val="en-US"/>
              </w:rPr>
              <w:t xml:space="preserve"> de </w:t>
            </w:r>
            <w:proofErr w:type="spellStart"/>
            <w:r w:rsidRPr="008D1BF3">
              <w:rPr>
                <w:bCs/>
                <w:sz w:val="18"/>
                <w:szCs w:val="18"/>
                <w:lang w:val="en-US"/>
              </w:rPr>
              <w:t>reglementare</w:t>
            </w:r>
            <w:proofErr w:type="spellEnd"/>
            <w:r w:rsidRPr="008D1BF3">
              <w:rPr>
                <w:bCs/>
                <w:sz w:val="18"/>
                <w:szCs w:val="18"/>
                <w:lang w:val="en-US"/>
              </w:rPr>
              <w:t xml:space="preserve"> </w:t>
            </w:r>
            <w:proofErr w:type="spellStart"/>
            <w:r w:rsidRPr="008D1BF3">
              <w:rPr>
                <w:bCs/>
                <w:sz w:val="18"/>
                <w:szCs w:val="18"/>
                <w:lang w:val="en-US"/>
              </w:rPr>
              <w:t>până</w:t>
            </w:r>
            <w:proofErr w:type="spellEnd"/>
            <w:r w:rsidRPr="008D1BF3">
              <w:rPr>
                <w:bCs/>
                <w:sz w:val="18"/>
                <w:szCs w:val="18"/>
                <w:lang w:val="en-US"/>
              </w:rPr>
              <w:t xml:space="preserve"> la 28 </w:t>
            </w:r>
            <w:proofErr w:type="spellStart"/>
            <w:r w:rsidRPr="008D1BF3">
              <w:rPr>
                <w:bCs/>
                <w:sz w:val="18"/>
                <w:szCs w:val="18"/>
                <w:lang w:val="en-US"/>
              </w:rPr>
              <w:t>iulie</w:t>
            </w:r>
            <w:proofErr w:type="spellEnd"/>
            <w:r w:rsidRPr="008D1BF3">
              <w:rPr>
                <w:bCs/>
                <w:sz w:val="18"/>
                <w:szCs w:val="18"/>
                <w:lang w:val="en-US"/>
              </w:rPr>
              <w:t xml:space="preserve"> 2013. </w:t>
            </w:r>
          </w:p>
          <w:p w14:paraId="3EFB504F" w14:textId="37E71D71" w:rsidR="005A16C7" w:rsidRPr="008D1BF3" w:rsidRDefault="008D1BF3" w:rsidP="005D7E14">
            <w:pPr>
              <w:rPr>
                <w:b/>
                <w:sz w:val="20"/>
                <w:szCs w:val="20"/>
                <w:lang w:val="en-US"/>
              </w:rPr>
            </w:pPr>
            <w:r w:rsidRPr="008D1BF3">
              <w:rPr>
                <w:sz w:val="20"/>
                <w:szCs w:val="20"/>
                <w:lang w:val="en-US"/>
              </w:rPr>
              <w:t xml:space="preserve">Se </w:t>
            </w:r>
            <w:proofErr w:type="spellStart"/>
            <w:r w:rsidRPr="008D1BF3">
              <w:rPr>
                <w:sz w:val="20"/>
                <w:szCs w:val="20"/>
                <w:lang w:val="en-US"/>
              </w:rPr>
              <w:t>deleagă</w:t>
            </w:r>
            <w:proofErr w:type="spellEnd"/>
            <w:r w:rsidRPr="008D1BF3">
              <w:rPr>
                <w:sz w:val="20"/>
                <w:szCs w:val="20"/>
                <w:lang w:val="en-US"/>
              </w:rPr>
              <w:t xml:space="preserve"> </w:t>
            </w:r>
            <w:proofErr w:type="spellStart"/>
            <w:r w:rsidRPr="008D1BF3">
              <w:rPr>
                <w:sz w:val="20"/>
                <w:szCs w:val="20"/>
                <w:lang w:val="en-US"/>
              </w:rPr>
              <w:t>Comisiei</w:t>
            </w:r>
            <w:proofErr w:type="spellEnd"/>
            <w:r w:rsidRPr="008D1BF3">
              <w:rPr>
                <w:sz w:val="20"/>
                <w:szCs w:val="20"/>
                <w:lang w:val="en-US"/>
              </w:rPr>
              <w:t xml:space="preserve"> </w:t>
            </w:r>
            <w:proofErr w:type="spellStart"/>
            <w:r w:rsidRPr="008D1BF3">
              <w:rPr>
                <w:sz w:val="20"/>
                <w:szCs w:val="20"/>
                <w:lang w:val="en-US"/>
              </w:rPr>
              <w:t>competenţa</w:t>
            </w:r>
            <w:proofErr w:type="spellEnd"/>
            <w:r w:rsidRPr="008D1BF3">
              <w:rPr>
                <w:sz w:val="20"/>
                <w:szCs w:val="20"/>
                <w:lang w:val="en-US"/>
              </w:rPr>
              <w:t xml:space="preserve"> de </w:t>
            </w:r>
            <w:proofErr w:type="gramStart"/>
            <w:r w:rsidRPr="008D1BF3">
              <w:rPr>
                <w:sz w:val="20"/>
                <w:szCs w:val="20"/>
                <w:lang w:val="en-US"/>
              </w:rPr>
              <w:t>a</w:t>
            </w:r>
            <w:proofErr w:type="gramEnd"/>
            <w:r w:rsidRPr="008D1BF3">
              <w:rPr>
                <w:sz w:val="20"/>
                <w:szCs w:val="20"/>
                <w:lang w:val="en-US"/>
              </w:rPr>
              <w:t xml:space="preserve"> </w:t>
            </w:r>
            <w:proofErr w:type="spellStart"/>
            <w:r w:rsidRPr="008D1BF3">
              <w:rPr>
                <w:sz w:val="20"/>
                <w:szCs w:val="20"/>
                <w:lang w:val="en-US"/>
              </w:rPr>
              <w:t>adopta</w:t>
            </w:r>
            <w:proofErr w:type="spellEnd"/>
            <w:r w:rsidRPr="008D1BF3">
              <w:rPr>
                <w:sz w:val="20"/>
                <w:szCs w:val="20"/>
                <w:lang w:val="en-US"/>
              </w:rPr>
              <w:t xml:space="preserve"> </w:t>
            </w:r>
            <w:proofErr w:type="spellStart"/>
            <w:r w:rsidRPr="008D1BF3">
              <w:rPr>
                <w:sz w:val="20"/>
                <w:szCs w:val="20"/>
                <w:lang w:val="en-US"/>
              </w:rPr>
              <w:t>standardele</w:t>
            </w:r>
            <w:proofErr w:type="spellEnd"/>
            <w:r w:rsidRPr="008D1BF3">
              <w:rPr>
                <w:sz w:val="20"/>
                <w:szCs w:val="20"/>
                <w:lang w:val="en-US"/>
              </w:rPr>
              <w:t xml:space="preserve"> </w:t>
            </w:r>
            <w:proofErr w:type="spellStart"/>
            <w:r w:rsidRPr="008D1BF3">
              <w:rPr>
                <w:sz w:val="20"/>
                <w:szCs w:val="20"/>
                <w:lang w:val="en-US"/>
              </w:rPr>
              <w:t>tehnice</w:t>
            </w:r>
            <w:proofErr w:type="spellEnd"/>
            <w:r w:rsidRPr="008D1BF3">
              <w:rPr>
                <w:sz w:val="20"/>
                <w:szCs w:val="20"/>
                <w:lang w:val="en-US"/>
              </w:rPr>
              <w:t xml:space="preserve"> de </w:t>
            </w:r>
            <w:proofErr w:type="spellStart"/>
            <w:r w:rsidRPr="008D1BF3">
              <w:rPr>
                <w:sz w:val="20"/>
                <w:szCs w:val="20"/>
                <w:lang w:val="en-US"/>
              </w:rPr>
              <w:t>reglementare</w:t>
            </w:r>
            <w:proofErr w:type="spellEnd"/>
            <w:r w:rsidRPr="008D1BF3">
              <w:rPr>
                <w:sz w:val="20"/>
                <w:szCs w:val="20"/>
                <w:lang w:val="en-US"/>
              </w:rPr>
              <w:t xml:space="preserve"> </w:t>
            </w:r>
            <w:proofErr w:type="spellStart"/>
            <w:r w:rsidRPr="008D1BF3">
              <w:rPr>
                <w:sz w:val="20"/>
                <w:szCs w:val="20"/>
                <w:lang w:val="en-US"/>
              </w:rPr>
              <w:t>menţionate</w:t>
            </w:r>
            <w:proofErr w:type="spellEnd"/>
            <w:r w:rsidRPr="008D1BF3">
              <w:rPr>
                <w:sz w:val="20"/>
                <w:szCs w:val="20"/>
                <w:lang w:val="en-US"/>
              </w:rPr>
              <w:t xml:space="preserve"> la </w:t>
            </w:r>
            <w:proofErr w:type="spellStart"/>
            <w:r w:rsidRPr="008D1BF3">
              <w:rPr>
                <w:sz w:val="20"/>
                <w:szCs w:val="20"/>
                <w:lang w:val="en-US"/>
              </w:rPr>
              <w:t>primul</w:t>
            </w:r>
            <w:proofErr w:type="spellEnd"/>
            <w:r w:rsidRPr="008D1BF3">
              <w:rPr>
                <w:sz w:val="20"/>
                <w:szCs w:val="20"/>
                <w:lang w:val="en-US"/>
              </w:rPr>
              <w:t xml:space="preserve"> </w:t>
            </w:r>
            <w:proofErr w:type="spellStart"/>
            <w:r w:rsidRPr="008D1BF3">
              <w:rPr>
                <w:sz w:val="20"/>
                <w:szCs w:val="20"/>
                <w:lang w:val="en-US"/>
              </w:rPr>
              <w:t>paragraf</w:t>
            </w:r>
            <w:proofErr w:type="spellEnd"/>
            <w:r w:rsidRPr="008D1BF3">
              <w:rPr>
                <w:sz w:val="20"/>
                <w:szCs w:val="20"/>
                <w:lang w:val="en-US"/>
              </w:rPr>
              <w:t xml:space="preserve">, </w:t>
            </w:r>
            <w:proofErr w:type="spellStart"/>
            <w:r w:rsidRPr="008D1BF3">
              <w:rPr>
                <w:sz w:val="20"/>
                <w:szCs w:val="20"/>
                <w:lang w:val="en-US"/>
              </w:rPr>
              <w:t>în</w:t>
            </w:r>
            <w:proofErr w:type="spellEnd"/>
            <w:r w:rsidRPr="008D1BF3">
              <w:rPr>
                <w:sz w:val="20"/>
                <w:szCs w:val="20"/>
                <w:lang w:val="en-US"/>
              </w:rPr>
              <w:t xml:space="preserve"> </w:t>
            </w:r>
            <w:proofErr w:type="spellStart"/>
            <w:r w:rsidRPr="008D1BF3">
              <w:rPr>
                <w:sz w:val="20"/>
                <w:szCs w:val="20"/>
                <w:lang w:val="en-US"/>
              </w:rPr>
              <w:t>conformitate</w:t>
            </w:r>
            <w:proofErr w:type="spellEnd"/>
            <w:r w:rsidRPr="008D1BF3">
              <w:rPr>
                <w:sz w:val="20"/>
                <w:szCs w:val="20"/>
                <w:lang w:val="en-US"/>
              </w:rPr>
              <w:t xml:space="preserve"> cu </w:t>
            </w:r>
            <w:proofErr w:type="spellStart"/>
            <w:r w:rsidRPr="008D1BF3">
              <w:rPr>
                <w:sz w:val="20"/>
                <w:szCs w:val="20"/>
                <w:lang w:val="en-US"/>
              </w:rPr>
              <w:t>articolele</w:t>
            </w:r>
            <w:proofErr w:type="spellEnd"/>
            <w:r w:rsidRPr="008D1BF3">
              <w:rPr>
                <w:sz w:val="20"/>
                <w:szCs w:val="20"/>
                <w:lang w:val="en-US"/>
              </w:rPr>
              <w:t xml:space="preserve"> 10-14 din </w:t>
            </w:r>
            <w:proofErr w:type="spellStart"/>
            <w:r w:rsidRPr="008D1BF3">
              <w:rPr>
                <w:sz w:val="20"/>
                <w:szCs w:val="20"/>
                <w:lang w:val="en-US"/>
              </w:rPr>
              <w:t>Regulamentul</w:t>
            </w:r>
            <w:proofErr w:type="spellEnd"/>
            <w:r w:rsidRPr="008D1BF3">
              <w:rPr>
                <w:sz w:val="20"/>
                <w:szCs w:val="20"/>
                <w:lang w:val="en-US"/>
              </w:rPr>
              <w:t xml:space="preserve"> (UE) nr. 1093/2010.</w:t>
            </w:r>
          </w:p>
        </w:tc>
        <w:tc>
          <w:tcPr>
            <w:tcW w:w="3685" w:type="dxa"/>
            <w:shd w:val="clear" w:color="auto" w:fill="auto"/>
          </w:tcPr>
          <w:p w14:paraId="4A44B440" w14:textId="7351FE3A" w:rsidR="005A16C7" w:rsidRPr="003F5B3C" w:rsidRDefault="005A16C7" w:rsidP="00675F66">
            <w:pPr>
              <w:pStyle w:val="ListParagraph"/>
              <w:tabs>
                <w:tab w:val="left" w:pos="172"/>
              </w:tabs>
              <w:ind w:left="0"/>
              <w:jc w:val="both"/>
              <w:rPr>
                <w:color w:val="000000"/>
                <w:sz w:val="18"/>
                <w:szCs w:val="18"/>
                <w:lang w:val="ro-RO"/>
              </w:rPr>
            </w:pPr>
          </w:p>
        </w:tc>
        <w:tc>
          <w:tcPr>
            <w:tcW w:w="1229" w:type="dxa"/>
          </w:tcPr>
          <w:p w14:paraId="48C3D504" w14:textId="5FE04D98" w:rsidR="005A16C7" w:rsidRPr="003F5B3C" w:rsidRDefault="00D47212" w:rsidP="00D47212">
            <w:pPr>
              <w:rPr>
                <w:sz w:val="18"/>
                <w:szCs w:val="18"/>
                <w:lang w:val="ro-MD"/>
              </w:rPr>
            </w:pPr>
            <w:proofErr w:type="spellStart"/>
            <w:r>
              <w:rPr>
                <w:sz w:val="20"/>
                <w:szCs w:val="20"/>
              </w:rPr>
              <w:t>Norme</w:t>
            </w:r>
            <w:proofErr w:type="spellEnd"/>
            <w:r>
              <w:rPr>
                <w:sz w:val="20"/>
                <w:szCs w:val="20"/>
              </w:rPr>
              <w:t xml:space="preserve"> UE </w:t>
            </w:r>
            <w:proofErr w:type="spellStart"/>
            <w:r>
              <w:rPr>
                <w:sz w:val="20"/>
                <w:szCs w:val="20"/>
              </w:rPr>
              <w:t>neaplicabile</w:t>
            </w:r>
            <w:proofErr w:type="spellEnd"/>
          </w:p>
        </w:tc>
        <w:tc>
          <w:tcPr>
            <w:tcW w:w="5292" w:type="dxa"/>
            <w:tcBorders>
              <w:top w:val="single" w:sz="4" w:space="0" w:color="auto"/>
              <w:bottom w:val="single" w:sz="4" w:space="0" w:color="auto"/>
            </w:tcBorders>
          </w:tcPr>
          <w:p w14:paraId="1BCFC529" w14:textId="5C3859DB" w:rsidR="005A16C7" w:rsidRPr="003F5B3C" w:rsidRDefault="00D47212" w:rsidP="001A4DE8">
            <w:pPr>
              <w:rPr>
                <w:sz w:val="18"/>
                <w:szCs w:val="18"/>
                <w:lang w:val="ro-MD"/>
              </w:rPr>
            </w:pPr>
            <w:r w:rsidRPr="001D1CBF">
              <w:rPr>
                <w:sz w:val="18"/>
                <w:szCs w:val="18"/>
                <w:lang w:val="ro-MD"/>
              </w:rPr>
              <w:t>Nu se transpune, deoarece ține de competența ABE.</w:t>
            </w:r>
          </w:p>
        </w:tc>
      </w:tr>
      <w:tr w:rsidR="001A4DE8" w:rsidRPr="006D6A9C" w14:paraId="480965B8" w14:textId="77777777" w:rsidTr="00E302C2">
        <w:trPr>
          <w:trHeight w:val="918"/>
        </w:trPr>
        <w:tc>
          <w:tcPr>
            <w:tcW w:w="4253" w:type="dxa"/>
            <w:shd w:val="clear" w:color="auto" w:fill="F2F2F2" w:themeFill="background1" w:themeFillShade="F2"/>
          </w:tcPr>
          <w:p w14:paraId="561DBADD" w14:textId="387DED35" w:rsidR="001A4DE8" w:rsidRPr="003F5B3C" w:rsidRDefault="001A4DE8" w:rsidP="005D7E14">
            <w:pPr>
              <w:rPr>
                <w:sz w:val="18"/>
                <w:szCs w:val="18"/>
                <w:lang w:val="en-US"/>
              </w:rPr>
            </w:pPr>
          </w:p>
        </w:tc>
        <w:tc>
          <w:tcPr>
            <w:tcW w:w="3685" w:type="dxa"/>
            <w:shd w:val="clear" w:color="auto" w:fill="F2F2F2" w:themeFill="background1" w:themeFillShade="F2"/>
          </w:tcPr>
          <w:p w14:paraId="73562062" w14:textId="404570E8" w:rsidR="00E302C2" w:rsidRPr="00E302C2" w:rsidRDefault="00E302C2" w:rsidP="00E302C2">
            <w:pPr>
              <w:rPr>
                <w:b/>
                <w:bCs/>
                <w:sz w:val="18"/>
                <w:szCs w:val="18"/>
                <w:lang w:val="en-US" w:eastAsia="ro-MD"/>
              </w:rPr>
            </w:pPr>
            <w:proofErr w:type="spellStart"/>
            <w:r w:rsidRPr="00E302C2">
              <w:rPr>
                <w:b/>
                <w:bCs/>
                <w:sz w:val="18"/>
                <w:szCs w:val="18"/>
                <w:lang w:val="en-US" w:eastAsia="ro-MD"/>
              </w:rPr>
              <w:t>Regulamentul</w:t>
            </w:r>
            <w:proofErr w:type="spellEnd"/>
            <w:r w:rsidRPr="00E302C2">
              <w:rPr>
                <w:b/>
                <w:bCs/>
                <w:sz w:val="18"/>
                <w:szCs w:val="18"/>
                <w:lang w:val="en-US" w:eastAsia="ro-MD"/>
              </w:rPr>
              <w:t xml:space="preserve"> cu </w:t>
            </w:r>
            <w:proofErr w:type="spellStart"/>
            <w:r w:rsidRPr="00E302C2">
              <w:rPr>
                <w:b/>
                <w:bCs/>
                <w:sz w:val="18"/>
                <w:szCs w:val="18"/>
                <w:lang w:val="en-US" w:eastAsia="ro-MD"/>
              </w:rPr>
              <w:t>privire</w:t>
            </w:r>
            <w:proofErr w:type="spellEnd"/>
            <w:r w:rsidRPr="00E302C2">
              <w:rPr>
                <w:b/>
                <w:bCs/>
                <w:sz w:val="18"/>
                <w:szCs w:val="18"/>
                <w:lang w:val="en-US" w:eastAsia="ro-MD"/>
              </w:rPr>
              <w:t xml:space="preserve"> la</w:t>
            </w:r>
          </w:p>
          <w:p w14:paraId="4D969477" w14:textId="6DB20C45" w:rsidR="00890C7C" w:rsidRPr="003F5B3C" w:rsidRDefault="00E302C2" w:rsidP="00E302C2">
            <w:pPr>
              <w:rPr>
                <w:sz w:val="18"/>
                <w:szCs w:val="18"/>
                <w:lang w:val="ro-MD"/>
              </w:rPr>
            </w:pPr>
            <w:proofErr w:type="spellStart"/>
            <w:r w:rsidRPr="00E302C2">
              <w:rPr>
                <w:b/>
                <w:bCs/>
                <w:sz w:val="18"/>
                <w:szCs w:val="18"/>
                <w:lang w:val="en-US" w:eastAsia="ro-MD"/>
              </w:rPr>
              <w:t>tratamentul</w:t>
            </w:r>
            <w:proofErr w:type="spellEnd"/>
            <w:r w:rsidRPr="00E302C2">
              <w:rPr>
                <w:b/>
                <w:bCs/>
                <w:sz w:val="18"/>
                <w:szCs w:val="18"/>
                <w:lang w:val="en-US" w:eastAsia="ro-MD"/>
              </w:rPr>
              <w:t xml:space="preserve"> </w:t>
            </w:r>
            <w:proofErr w:type="spellStart"/>
            <w:r w:rsidRPr="00E302C2">
              <w:rPr>
                <w:b/>
                <w:bCs/>
                <w:sz w:val="18"/>
                <w:szCs w:val="18"/>
                <w:lang w:val="en-US" w:eastAsia="ro-MD"/>
              </w:rPr>
              <w:t>riscului</w:t>
            </w:r>
            <w:proofErr w:type="spellEnd"/>
            <w:r w:rsidRPr="00E302C2">
              <w:rPr>
                <w:b/>
                <w:bCs/>
                <w:sz w:val="18"/>
                <w:szCs w:val="18"/>
                <w:lang w:val="en-US" w:eastAsia="ro-MD"/>
              </w:rPr>
              <w:t xml:space="preserve"> de </w:t>
            </w:r>
            <w:proofErr w:type="spellStart"/>
            <w:r w:rsidRPr="00E302C2">
              <w:rPr>
                <w:b/>
                <w:bCs/>
                <w:sz w:val="18"/>
                <w:szCs w:val="18"/>
                <w:lang w:val="en-US" w:eastAsia="ro-MD"/>
              </w:rPr>
              <w:t>decontare</w:t>
            </w:r>
            <w:proofErr w:type="spellEnd"/>
            <w:r w:rsidRPr="00E302C2">
              <w:rPr>
                <w:b/>
                <w:bCs/>
                <w:sz w:val="18"/>
                <w:szCs w:val="18"/>
                <w:lang w:val="en-US" w:eastAsia="ro-MD"/>
              </w:rPr>
              <w:t>/</w:t>
            </w:r>
            <w:proofErr w:type="spellStart"/>
            <w:r w:rsidRPr="00E302C2">
              <w:rPr>
                <w:b/>
                <w:bCs/>
                <w:sz w:val="18"/>
                <w:szCs w:val="18"/>
                <w:lang w:val="en-US" w:eastAsia="ro-MD"/>
              </w:rPr>
              <w:t>livrare</w:t>
            </w:r>
            <w:proofErr w:type="spellEnd"/>
            <w:r w:rsidRPr="00E302C2">
              <w:rPr>
                <w:b/>
                <w:bCs/>
                <w:sz w:val="18"/>
                <w:szCs w:val="18"/>
                <w:lang w:val="en-US" w:eastAsia="ro-MD"/>
              </w:rPr>
              <w:t xml:space="preserve"> </w:t>
            </w:r>
            <w:proofErr w:type="spellStart"/>
            <w:r w:rsidRPr="00E302C2">
              <w:rPr>
                <w:b/>
                <w:bCs/>
                <w:sz w:val="18"/>
                <w:szCs w:val="18"/>
                <w:lang w:val="en-US" w:eastAsia="ro-MD"/>
              </w:rPr>
              <w:t>pentru</w:t>
            </w:r>
            <w:proofErr w:type="spellEnd"/>
            <w:r w:rsidRPr="00E302C2">
              <w:rPr>
                <w:b/>
                <w:bCs/>
                <w:sz w:val="18"/>
                <w:szCs w:val="18"/>
                <w:lang w:val="en-US" w:eastAsia="ro-MD"/>
              </w:rPr>
              <w:t xml:space="preserve"> </w:t>
            </w:r>
            <w:proofErr w:type="spellStart"/>
            <w:r w:rsidRPr="00E302C2">
              <w:rPr>
                <w:b/>
                <w:bCs/>
                <w:sz w:val="18"/>
                <w:szCs w:val="18"/>
                <w:lang w:val="en-US" w:eastAsia="ro-MD"/>
              </w:rPr>
              <w:t>bănci</w:t>
            </w:r>
            <w:proofErr w:type="spellEnd"/>
            <w:r w:rsidRPr="00E302C2">
              <w:rPr>
                <w:b/>
                <w:bCs/>
                <w:sz w:val="18"/>
                <w:szCs w:val="18"/>
                <w:lang w:val="en-US" w:eastAsia="ro-MD"/>
              </w:rPr>
              <w:t xml:space="preserve">, </w:t>
            </w:r>
            <w:proofErr w:type="spellStart"/>
            <w:r w:rsidRPr="00E302C2">
              <w:rPr>
                <w:b/>
                <w:bCs/>
                <w:sz w:val="18"/>
                <w:szCs w:val="18"/>
                <w:lang w:val="en-US" w:eastAsia="ro-MD"/>
              </w:rPr>
              <w:t>aprobat</w:t>
            </w:r>
            <w:proofErr w:type="spellEnd"/>
            <w:r w:rsidRPr="00E302C2">
              <w:rPr>
                <w:b/>
                <w:bCs/>
                <w:sz w:val="18"/>
                <w:szCs w:val="18"/>
                <w:lang w:val="en-US" w:eastAsia="ro-MD"/>
              </w:rPr>
              <w:t xml:space="preserve"> </w:t>
            </w:r>
            <w:proofErr w:type="spellStart"/>
            <w:r w:rsidRPr="00E302C2">
              <w:rPr>
                <w:b/>
                <w:bCs/>
                <w:sz w:val="18"/>
                <w:szCs w:val="18"/>
                <w:lang w:val="en-US" w:eastAsia="ro-MD"/>
              </w:rPr>
              <w:t>prin</w:t>
            </w:r>
            <w:proofErr w:type="spellEnd"/>
            <w:r w:rsidRPr="00E302C2">
              <w:rPr>
                <w:b/>
                <w:bCs/>
                <w:sz w:val="18"/>
                <w:szCs w:val="18"/>
                <w:lang w:val="en-US" w:eastAsia="ro-MD"/>
              </w:rPr>
              <w:t xml:space="preserve"> HCE nr.</w:t>
            </w:r>
            <w:proofErr w:type="gramStart"/>
            <w:r w:rsidRPr="00E302C2">
              <w:rPr>
                <w:b/>
                <w:bCs/>
                <w:sz w:val="18"/>
                <w:szCs w:val="18"/>
                <w:lang w:val="en-US" w:eastAsia="ro-MD"/>
              </w:rPr>
              <w:t>115  din</w:t>
            </w:r>
            <w:proofErr w:type="gramEnd"/>
            <w:r w:rsidRPr="00E302C2">
              <w:rPr>
                <w:b/>
                <w:bCs/>
                <w:sz w:val="18"/>
                <w:szCs w:val="18"/>
                <w:lang w:val="en-US" w:eastAsia="ro-MD"/>
              </w:rPr>
              <w:t>  24.05.2018</w:t>
            </w:r>
          </w:p>
        </w:tc>
        <w:tc>
          <w:tcPr>
            <w:tcW w:w="1229" w:type="dxa"/>
            <w:shd w:val="clear" w:color="auto" w:fill="F2F2F2" w:themeFill="background1" w:themeFillShade="F2"/>
          </w:tcPr>
          <w:p w14:paraId="24CA6D74" w14:textId="3E4ABF97" w:rsidR="001A4DE8" w:rsidRPr="003F5B3C" w:rsidRDefault="001A4DE8" w:rsidP="00B93C1C">
            <w:pPr>
              <w:jc w:val="both"/>
              <w:rPr>
                <w:sz w:val="18"/>
                <w:szCs w:val="18"/>
                <w:lang w:val="ro-MD"/>
              </w:rPr>
            </w:pPr>
          </w:p>
        </w:tc>
        <w:tc>
          <w:tcPr>
            <w:tcW w:w="5292" w:type="dxa"/>
            <w:tcBorders>
              <w:top w:val="single" w:sz="4" w:space="0" w:color="auto"/>
              <w:bottom w:val="single" w:sz="4" w:space="0" w:color="auto"/>
            </w:tcBorders>
            <w:shd w:val="clear" w:color="auto" w:fill="F2F2F2" w:themeFill="background1" w:themeFillShade="F2"/>
          </w:tcPr>
          <w:p w14:paraId="158A2A36" w14:textId="2B92EAE9" w:rsidR="001A4DE8" w:rsidRPr="003F5B3C" w:rsidRDefault="001A4DE8" w:rsidP="00B93C1C">
            <w:pPr>
              <w:jc w:val="both"/>
              <w:rPr>
                <w:sz w:val="18"/>
                <w:szCs w:val="18"/>
                <w:lang w:val="ro-MD"/>
              </w:rPr>
            </w:pPr>
          </w:p>
        </w:tc>
      </w:tr>
      <w:tr w:rsidR="00632557" w:rsidRPr="00775E84" w14:paraId="230676B5" w14:textId="77777777" w:rsidTr="003F5B3C">
        <w:trPr>
          <w:trHeight w:val="918"/>
        </w:trPr>
        <w:tc>
          <w:tcPr>
            <w:tcW w:w="4253" w:type="dxa"/>
          </w:tcPr>
          <w:p w14:paraId="0CF03CD4" w14:textId="77777777" w:rsidR="00E6689E" w:rsidRDefault="00DB5AA7" w:rsidP="00632557">
            <w:pPr>
              <w:rPr>
                <w:sz w:val="18"/>
                <w:szCs w:val="18"/>
                <w:lang w:val="en-US"/>
              </w:rPr>
            </w:pPr>
            <w:r w:rsidRPr="00DB5AA7">
              <w:rPr>
                <w:sz w:val="18"/>
                <w:szCs w:val="18"/>
                <w:lang w:val="en-US"/>
              </w:rPr>
              <w:lastRenderedPageBreak/>
              <w:t xml:space="preserve">TITLUL V </w:t>
            </w:r>
          </w:p>
          <w:p w14:paraId="253112EF" w14:textId="66B01A5D" w:rsidR="00E6689E" w:rsidRPr="00E6689E" w:rsidRDefault="00DB5AA7" w:rsidP="00632557">
            <w:pPr>
              <w:rPr>
                <w:b/>
                <w:bCs/>
                <w:sz w:val="18"/>
                <w:szCs w:val="18"/>
                <w:lang w:val="en-US"/>
              </w:rPr>
            </w:pPr>
            <w:r w:rsidRPr="00E6689E">
              <w:rPr>
                <w:b/>
                <w:bCs/>
                <w:sz w:val="18"/>
                <w:szCs w:val="18"/>
                <w:lang w:val="en-US"/>
              </w:rPr>
              <w:t xml:space="preserve">CERINŢE DE FONDURI PROPRII PENTRU RISCUL DE DECONTARE </w:t>
            </w:r>
          </w:p>
          <w:p w14:paraId="4E732D8B" w14:textId="77777777" w:rsidR="00E6689E" w:rsidRDefault="00E6689E" w:rsidP="00632557">
            <w:pPr>
              <w:rPr>
                <w:sz w:val="18"/>
                <w:szCs w:val="18"/>
                <w:lang w:val="en-US"/>
              </w:rPr>
            </w:pPr>
          </w:p>
          <w:p w14:paraId="5B3F1BC0" w14:textId="4CAC3EF4" w:rsidR="00E6689E" w:rsidRPr="00E6689E" w:rsidRDefault="00DB5AA7" w:rsidP="00632557">
            <w:pPr>
              <w:rPr>
                <w:b/>
                <w:bCs/>
                <w:sz w:val="18"/>
                <w:szCs w:val="18"/>
                <w:lang w:val="en-US"/>
              </w:rPr>
            </w:pPr>
            <w:proofErr w:type="spellStart"/>
            <w:r w:rsidRPr="00E6689E">
              <w:rPr>
                <w:i/>
                <w:iCs/>
                <w:sz w:val="18"/>
                <w:szCs w:val="18"/>
                <w:lang w:val="en-US"/>
              </w:rPr>
              <w:t>Articolul</w:t>
            </w:r>
            <w:proofErr w:type="spellEnd"/>
            <w:r w:rsidRPr="00E6689E">
              <w:rPr>
                <w:i/>
                <w:iCs/>
                <w:sz w:val="18"/>
                <w:szCs w:val="18"/>
                <w:lang w:val="en-US"/>
              </w:rPr>
              <w:t xml:space="preserve"> 378</w:t>
            </w:r>
            <w:r w:rsidR="00E6689E">
              <w:rPr>
                <w:i/>
                <w:iCs/>
                <w:sz w:val="18"/>
                <w:szCs w:val="18"/>
                <w:lang w:val="en-US"/>
              </w:rPr>
              <w:t xml:space="preserve"> </w:t>
            </w:r>
            <w:proofErr w:type="spellStart"/>
            <w:r w:rsidRPr="00E6689E">
              <w:rPr>
                <w:b/>
                <w:bCs/>
                <w:sz w:val="18"/>
                <w:szCs w:val="18"/>
                <w:lang w:val="en-US"/>
              </w:rPr>
              <w:t>Riscul</w:t>
            </w:r>
            <w:proofErr w:type="spellEnd"/>
            <w:r w:rsidRPr="00E6689E">
              <w:rPr>
                <w:b/>
                <w:bCs/>
                <w:sz w:val="18"/>
                <w:szCs w:val="18"/>
                <w:lang w:val="en-US"/>
              </w:rPr>
              <w:t xml:space="preserve"> de </w:t>
            </w:r>
            <w:proofErr w:type="spellStart"/>
            <w:r w:rsidRPr="00E6689E">
              <w:rPr>
                <w:b/>
                <w:bCs/>
                <w:sz w:val="18"/>
                <w:szCs w:val="18"/>
                <w:lang w:val="en-US"/>
              </w:rPr>
              <w:t>decontare</w:t>
            </w:r>
            <w:proofErr w:type="spellEnd"/>
            <w:r w:rsidRPr="00E6689E">
              <w:rPr>
                <w:b/>
                <w:bCs/>
                <w:sz w:val="18"/>
                <w:szCs w:val="18"/>
                <w:lang w:val="en-US"/>
              </w:rPr>
              <w:t>/</w:t>
            </w:r>
            <w:proofErr w:type="spellStart"/>
            <w:r w:rsidRPr="00E6689E">
              <w:rPr>
                <w:b/>
                <w:bCs/>
                <w:sz w:val="18"/>
                <w:szCs w:val="18"/>
                <w:lang w:val="en-US"/>
              </w:rPr>
              <w:t>livrare</w:t>
            </w:r>
            <w:proofErr w:type="spellEnd"/>
            <w:r w:rsidRPr="00E6689E">
              <w:rPr>
                <w:b/>
                <w:bCs/>
                <w:sz w:val="18"/>
                <w:szCs w:val="18"/>
                <w:lang w:val="en-US"/>
              </w:rPr>
              <w:t xml:space="preserve"> </w:t>
            </w:r>
          </w:p>
          <w:p w14:paraId="0682B21A" w14:textId="77777777" w:rsidR="00E6689E" w:rsidRDefault="00E6689E" w:rsidP="00632557">
            <w:pPr>
              <w:rPr>
                <w:sz w:val="18"/>
                <w:szCs w:val="18"/>
                <w:lang w:val="en-US"/>
              </w:rPr>
            </w:pPr>
          </w:p>
          <w:p w14:paraId="3909DC7C" w14:textId="77777777" w:rsidR="00E6689E" w:rsidRDefault="00DB5AA7" w:rsidP="00632557">
            <w:pPr>
              <w:rPr>
                <w:sz w:val="18"/>
                <w:szCs w:val="18"/>
                <w:lang w:val="en-US"/>
              </w:rPr>
            </w:pP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cazul</w:t>
            </w:r>
            <w:proofErr w:type="spellEnd"/>
            <w:r w:rsidRPr="00DB5AA7">
              <w:rPr>
                <w:sz w:val="18"/>
                <w:szCs w:val="18"/>
                <w:lang w:val="en-US"/>
              </w:rPr>
              <w:t xml:space="preserve"> </w:t>
            </w:r>
            <w:proofErr w:type="spellStart"/>
            <w:r w:rsidRPr="00DB5AA7">
              <w:rPr>
                <w:sz w:val="18"/>
                <w:szCs w:val="18"/>
                <w:lang w:val="en-US"/>
              </w:rPr>
              <w:t>tranzacţiilor</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care </w:t>
            </w:r>
            <w:proofErr w:type="spellStart"/>
            <w:r w:rsidRPr="00DB5AA7">
              <w:rPr>
                <w:sz w:val="18"/>
                <w:szCs w:val="18"/>
                <w:lang w:val="en-US"/>
              </w:rPr>
              <w:t>instrumentele</w:t>
            </w:r>
            <w:proofErr w:type="spellEnd"/>
            <w:r w:rsidRPr="00DB5AA7">
              <w:rPr>
                <w:sz w:val="18"/>
                <w:szCs w:val="18"/>
                <w:lang w:val="en-US"/>
              </w:rPr>
              <w:t xml:space="preserve"> de </w:t>
            </w:r>
            <w:proofErr w:type="spellStart"/>
            <w:r w:rsidRPr="00DB5AA7">
              <w:rPr>
                <w:sz w:val="18"/>
                <w:szCs w:val="18"/>
                <w:lang w:val="en-US"/>
              </w:rPr>
              <w:t>datorie</w:t>
            </w:r>
            <w:proofErr w:type="spellEnd"/>
            <w:r w:rsidRPr="00DB5AA7">
              <w:rPr>
                <w:sz w:val="18"/>
                <w:szCs w:val="18"/>
                <w:lang w:val="en-US"/>
              </w:rPr>
              <w:t xml:space="preserve">, </w:t>
            </w:r>
            <w:proofErr w:type="spellStart"/>
            <w:r w:rsidRPr="00DB5AA7">
              <w:rPr>
                <w:sz w:val="18"/>
                <w:szCs w:val="18"/>
                <w:lang w:val="en-US"/>
              </w:rPr>
              <w:t>titlurile</w:t>
            </w:r>
            <w:proofErr w:type="spellEnd"/>
            <w:r w:rsidRPr="00DB5AA7">
              <w:rPr>
                <w:sz w:val="18"/>
                <w:szCs w:val="18"/>
                <w:lang w:val="en-US"/>
              </w:rPr>
              <w:t xml:space="preserve"> de capital, </w:t>
            </w:r>
            <w:proofErr w:type="spellStart"/>
            <w:r w:rsidRPr="00DB5AA7">
              <w:rPr>
                <w:sz w:val="18"/>
                <w:szCs w:val="18"/>
                <w:lang w:val="en-US"/>
              </w:rPr>
              <w:t>valutele</w:t>
            </w:r>
            <w:proofErr w:type="spellEnd"/>
            <w:r w:rsidRPr="00DB5AA7">
              <w:rPr>
                <w:sz w:val="18"/>
                <w:szCs w:val="18"/>
                <w:lang w:val="en-US"/>
              </w:rPr>
              <w:t xml:space="preserve"> </w:t>
            </w:r>
            <w:proofErr w:type="spellStart"/>
            <w:r w:rsidRPr="00DB5AA7">
              <w:rPr>
                <w:sz w:val="18"/>
                <w:szCs w:val="18"/>
                <w:lang w:val="en-US"/>
              </w:rPr>
              <w:t>și</w:t>
            </w:r>
            <w:proofErr w:type="spellEnd"/>
            <w:r w:rsidRPr="00DB5AA7">
              <w:rPr>
                <w:sz w:val="18"/>
                <w:szCs w:val="18"/>
                <w:lang w:val="en-US"/>
              </w:rPr>
              <w:t xml:space="preserve"> </w:t>
            </w:r>
            <w:proofErr w:type="spellStart"/>
            <w:r w:rsidRPr="00DB5AA7">
              <w:rPr>
                <w:sz w:val="18"/>
                <w:szCs w:val="18"/>
                <w:lang w:val="en-US"/>
              </w:rPr>
              <w:t>mărfurile</w:t>
            </w:r>
            <w:proofErr w:type="spellEnd"/>
            <w:r w:rsidRPr="00DB5AA7">
              <w:rPr>
                <w:sz w:val="18"/>
                <w:szCs w:val="18"/>
                <w:lang w:val="en-US"/>
              </w:rPr>
              <w:t xml:space="preserve">, </w:t>
            </w:r>
            <w:proofErr w:type="spellStart"/>
            <w:r w:rsidRPr="00DB5AA7">
              <w:rPr>
                <w:sz w:val="18"/>
                <w:szCs w:val="18"/>
                <w:lang w:val="en-US"/>
              </w:rPr>
              <w:t>excluzând</w:t>
            </w:r>
            <w:proofErr w:type="spellEnd"/>
            <w:r w:rsidRPr="00DB5AA7">
              <w:rPr>
                <w:sz w:val="18"/>
                <w:szCs w:val="18"/>
                <w:lang w:val="en-US"/>
              </w:rPr>
              <w:t xml:space="preserve"> </w:t>
            </w:r>
            <w:proofErr w:type="spellStart"/>
            <w:r w:rsidRPr="00DB5AA7">
              <w:rPr>
                <w:sz w:val="18"/>
                <w:szCs w:val="18"/>
                <w:lang w:val="en-US"/>
              </w:rPr>
              <w:t>tranzacţiile</w:t>
            </w:r>
            <w:proofErr w:type="spellEnd"/>
            <w:r w:rsidRPr="00DB5AA7">
              <w:rPr>
                <w:sz w:val="18"/>
                <w:szCs w:val="18"/>
                <w:lang w:val="en-US"/>
              </w:rPr>
              <w:t xml:space="preserve"> de </w:t>
            </w:r>
            <w:proofErr w:type="spellStart"/>
            <w:r w:rsidRPr="00DB5AA7">
              <w:rPr>
                <w:sz w:val="18"/>
                <w:szCs w:val="18"/>
                <w:lang w:val="en-US"/>
              </w:rPr>
              <w:t>răscumpărare</w:t>
            </w:r>
            <w:proofErr w:type="spellEnd"/>
            <w:r w:rsidRPr="00DB5AA7">
              <w:rPr>
                <w:sz w:val="18"/>
                <w:szCs w:val="18"/>
                <w:lang w:val="en-US"/>
              </w:rPr>
              <w:t xml:space="preserve">, </w:t>
            </w:r>
            <w:proofErr w:type="spellStart"/>
            <w:r w:rsidRPr="00DB5AA7">
              <w:rPr>
                <w:sz w:val="18"/>
                <w:szCs w:val="18"/>
                <w:lang w:val="en-US"/>
              </w:rPr>
              <w:t>operaţiunile</w:t>
            </w:r>
            <w:proofErr w:type="spellEnd"/>
            <w:r w:rsidRPr="00DB5AA7">
              <w:rPr>
                <w:sz w:val="18"/>
                <w:szCs w:val="18"/>
                <w:lang w:val="en-US"/>
              </w:rPr>
              <w:t xml:space="preserve"> de dare de </w:t>
            </w:r>
            <w:proofErr w:type="spellStart"/>
            <w:r w:rsidRPr="00DB5AA7">
              <w:rPr>
                <w:sz w:val="18"/>
                <w:szCs w:val="18"/>
                <w:lang w:val="en-US"/>
              </w:rPr>
              <w:t>titluri</w:t>
            </w:r>
            <w:proofErr w:type="spellEnd"/>
            <w:r w:rsidRPr="00DB5AA7">
              <w:rPr>
                <w:sz w:val="18"/>
                <w:szCs w:val="18"/>
                <w:lang w:val="en-US"/>
              </w:rPr>
              <w:t>/</w:t>
            </w:r>
            <w:proofErr w:type="spellStart"/>
            <w:r w:rsidRPr="00DB5AA7">
              <w:rPr>
                <w:sz w:val="18"/>
                <w:szCs w:val="18"/>
                <w:lang w:val="en-US"/>
              </w:rPr>
              <w:t>mărfuri</w:t>
            </w:r>
            <w:proofErr w:type="spellEnd"/>
            <w:r w:rsidRPr="00DB5AA7">
              <w:rPr>
                <w:sz w:val="18"/>
                <w:szCs w:val="18"/>
                <w:lang w:val="en-US"/>
              </w:rPr>
              <w:t xml:space="preserve"> cu </w:t>
            </w:r>
            <w:proofErr w:type="spellStart"/>
            <w:r w:rsidRPr="00DB5AA7">
              <w:rPr>
                <w:sz w:val="18"/>
                <w:szCs w:val="18"/>
                <w:lang w:val="en-US"/>
              </w:rPr>
              <w:t>împrumut</w:t>
            </w:r>
            <w:proofErr w:type="spellEnd"/>
            <w:r w:rsidRPr="00DB5AA7">
              <w:rPr>
                <w:sz w:val="18"/>
                <w:szCs w:val="18"/>
                <w:lang w:val="en-US"/>
              </w:rPr>
              <w:t xml:space="preserve"> </w:t>
            </w:r>
            <w:proofErr w:type="spellStart"/>
            <w:r w:rsidRPr="00DB5AA7">
              <w:rPr>
                <w:sz w:val="18"/>
                <w:szCs w:val="18"/>
                <w:lang w:val="en-US"/>
              </w:rPr>
              <w:t>și</w:t>
            </w:r>
            <w:proofErr w:type="spellEnd"/>
            <w:r w:rsidRPr="00DB5AA7">
              <w:rPr>
                <w:sz w:val="18"/>
                <w:szCs w:val="18"/>
                <w:lang w:val="en-US"/>
              </w:rPr>
              <w:t xml:space="preserve"> </w:t>
            </w:r>
            <w:proofErr w:type="spellStart"/>
            <w:r w:rsidRPr="00DB5AA7">
              <w:rPr>
                <w:sz w:val="18"/>
                <w:szCs w:val="18"/>
                <w:lang w:val="en-US"/>
              </w:rPr>
              <w:t>operaţiunile</w:t>
            </w:r>
            <w:proofErr w:type="spellEnd"/>
            <w:r w:rsidRPr="00DB5AA7">
              <w:rPr>
                <w:sz w:val="18"/>
                <w:szCs w:val="18"/>
                <w:lang w:val="en-US"/>
              </w:rPr>
              <w:t xml:space="preserve"> de </w:t>
            </w:r>
            <w:proofErr w:type="spellStart"/>
            <w:r w:rsidRPr="00DB5AA7">
              <w:rPr>
                <w:sz w:val="18"/>
                <w:szCs w:val="18"/>
                <w:lang w:val="en-US"/>
              </w:rPr>
              <w:t>luare</w:t>
            </w:r>
            <w:proofErr w:type="spellEnd"/>
            <w:r w:rsidRPr="00DB5AA7">
              <w:rPr>
                <w:sz w:val="18"/>
                <w:szCs w:val="18"/>
                <w:lang w:val="en-US"/>
              </w:rPr>
              <w:t xml:space="preserve"> de </w:t>
            </w:r>
            <w:proofErr w:type="spellStart"/>
            <w:r w:rsidRPr="00DB5AA7">
              <w:rPr>
                <w:sz w:val="18"/>
                <w:szCs w:val="18"/>
                <w:lang w:val="en-US"/>
              </w:rPr>
              <w:t>titluri</w:t>
            </w:r>
            <w:proofErr w:type="spellEnd"/>
            <w:r w:rsidRPr="00DB5AA7">
              <w:rPr>
                <w:sz w:val="18"/>
                <w:szCs w:val="18"/>
                <w:lang w:val="en-US"/>
              </w:rPr>
              <w:t>/</w:t>
            </w:r>
            <w:proofErr w:type="spellStart"/>
            <w:r w:rsidRPr="00DB5AA7">
              <w:rPr>
                <w:sz w:val="18"/>
                <w:szCs w:val="18"/>
                <w:lang w:val="en-US"/>
              </w:rPr>
              <w:t>mărfuri</w:t>
            </w:r>
            <w:proofErr w:type="spellEnd"/>
            <w:r w:rsidRPr="00DB5AA7">
              <w:rPr>
                <w:sz w:val="18"/>
                <w:szCs w:val="18"/>
                <w:lang w:val="en-US"/>
              </w:rPr>
              <w:t xml:space="preserve"> cu </w:t>
            </w:r>
            <w:proofErr w:type="spellStart"/>
            <w:r w:rsidRPr="00DB5AA7">
              <w:rPr>
                <w:sz w:val="18"/>
                <w:szCs w:val="18"/>
                <w:lang w:val="en-US"/>
              </w:rPr>
              <w:t>împrumut</w:t>
            </w:r>
            <w:proofErr w:type="spellEnd"/>
            <w:r w:rsidRPr="00DB5AA7">
              <w:rPr>
                <w:sz w:val="18"/>
                <w:szCs w:val="18"/>
                <w:lang w:val="en-US"/>
              </w:rPr>
              <w:t xml:space="preserve">, </w:t>
            </w:r>
            <w:proofErr w:type="spellStart"/>
            <w:r w:rsidRPr="00DB5AA7">
              <w:rPr>
                <w:sz w:val="18"/>
                <w:szCs w:val="18"/>
                <w:lang w:val="en-US"/>
              </w:rPr>
              <w:t>rămân</w:t>
            </w:r>
            <w:proofErr w:type="spellEnd"/>
            <w:r w:rsidRPr="00DB5AA7">
              <w:rPr>
                <w:sz w:val="18"/>
                <w:szCs w:val="18"/>
                <w:lang w:val="en-US"/>
              </w:rPr>
              <w:t xml:space="preserve"> </w:t>
            </w:r>
            <w:proofErr w:type="spellStart"/>
            <w:r w:rsidRPr="00DB5AA7">
              <w:rPr>
                <w:sz w:val="18"/>
                <w:szCs w:val="18"/>
                <w:lang w:val="en-US"/>
              </w:rPr>
              <w:t>nedecontate</w:t>
            </w:r>
            <w:proofErr w:type="spellEnd"/>
            <w:r w:rsidRPr="00DB5AA7">
              <w:rPr>
                <w:sz w:val="18"/>
                <w:szCs w:val="18"/>
                <w:lang w:val="en-US"/>
              </w:rPr>
              <w:t xml:space="preserve"> </w:t>
            </w:r>
            <w:proofErr w:type="spellStart"/>
            <w:r w:rsidRPr="00DB5AA7">
              <w:rPr>
                <w:sz w:val="18"/>
                <w:szCs w:val="18"/>
                <w:lang w:val="en-US"/>
              </w:rPr>
              <w:t>după</w:t>
            </w:r>
            <w:proofErr w:type="spellEnd"/>
            <w:r w:rsidRPr="00DB5AA7">
              <w:rPr>
                <w:sz w:val="18"/>
                <w:szCs w:val="18"/>
                <w:lang w:val="en-US"/>
              </w:rPr>
              <w:t xml:space="preserve"> data de </w:t>
            </w:r>
            <w:proofErr w:type="spellStart"/>
            <w:r w:rsidRPr="00DB5AA7">
              <w:rPr>
                <w:sz w:val="18"/>
                <w:szCs w:val="18"/>
                <w:lang w:val="en-US"/>
              </w:rPr>
              <w:t>livrare</w:t>
            </w:r>
            <w:proofErr w:type="spellEnd"/>
            <w:r w:rsidRPr="00DB5AA7">
              <w:rPr>
                <w:sz w:val="18"/>
                <w:szCs w:val="18"/>
                <w:lang w:val="en-US"/>
              </w:rPr>
              <w:t xml:space="preserve"> </w:t>
            </w:r>
            <w:proofErr w:type="spellStart"/>
            <w:r w:rsidRPr="00DB5AA7">
              <w:rPr>
                <w:sz w:val="18"/>
                <w:szCs w:val="18"/>
                <w:lang w:val="en-US"/>
              </w:rPr>
              <w:t>scadentă</w:t>
            </w:r>
            <w:proofErr w:type="spellEnd"/>
            <w:r w:rsidRPr="00DB5AA7">
              <w:rPr>
                <w:sz w:val="18"/>
                <w:szCs w:val="18"/>
                <w:lang w:val="en-US"/>
              </w:rPr>
              <w:t xml:space="preserve">, </w:t>
            </w:r>
            <w:proofErr w:type="spellStart"/>
            <w:r w:rsidRPr="00DB5AA7">
              <w:rPr>
                <w:sz w:val="18"/>
                <w:szCs w:val="18"/>
                <w:lang w:val="en-US"/>
              </w:rPr>
              <w:t>instituţia</w:t>
            </w:r>
            <w:proofErr w:type="spellEnd"/>
            <w:r w:rsidRPr="00DB5AA7">
              <w:rPr>
                <w:sz w:val="18"/>
                <w:szCs w:val="18"/>
                <w:lang w:val="en-US"/>
              </w:rPr>
              <w:t xml:space="preserve"> </w:t>
            </w:r>
            <w:proofErr w:type="spellStart"/>
            <w:r w:rsidRPr="00DB5AA7">
              <w:rPr>
                <w:sz w:val="18"/>
                <w:szCs w:val="18"/>
                <w:lang w:val="en-US"/>
              </w:rPr>
              <w:t>trebuie</w:t>
            </w:r>
            <w:proofErr w:type="spellEnd"/>
            <w:r w:rsidRPr="00DB5AA7">
              <w:rPr>
                <w:sz w:val="18"/>
                <w:szCs w:val="18"/>
                <w:lang w:val="en-US"/>
              </w:rPr>
              <w:t xml:space="preserve"> </w:t>
            </w:r>
            <w:proofErr w:type="spellStart"/>
            <w:r w:rsidRPr="00DB5AA7">
              <w:rPr>
                <w:sz w:val="18"/>
                <w:szCs w:val="18"/>
                <w:lang w:val="en-US"/>
              </w:rPr>
              <w:t>să</w:t>
            </w:r>
            <w:proofErr w:type="spellEnd"/>
            <w:r w:rsidRPr="00DB5AA7">
              <w:rPr>
                <w:sz w:val="18"/>
                <w:szCs w:val="18"/>
                <w:lang w:val="en-US"/>
              </w:rPr>
              <w:t xml:space="preserve"> </w:t>
            </w:r>
            <w:proofErr w:type="spellStart"/>
            <w:r w:rsidRPr="00DB5AA7">
              <w:rPr>
                <w:sz w:val="18"/>
                <w:szCs w:val="18"/>
                <w:lang w:val="en-US"/>
              </w:rPr>
              <w:t>calculeze</w:t>
            </w:r>
            <w:proofErr w:type="spellEnd"/>
            <w:r w:rsidRPr="00DB5AA7">
              <w:rPr>
                <w:sz w:val="18"/>
                <w:szCs w:val="18"/>
                <w:lang w:val="en-US"/>
              </w:rPr>
              <w:t xml:space="preserve"> </w:t>
            </w:r>
            <w:proofErr w:type="spellStart"/>
            <w:r w:rsidRPr="00DB5AA7">
              <w:rPr>
                <w:sz w:val="18"/>
                <w:szCs w:val="18"/>
                <w:lang w:val="en-US"/>
              </w:rPr>
              <w:t>diferenţa</w:t>
            </w:r>
            <w:proofErr w:type="spellEnd"/>
            <w:r w:rsidRPr="00DB5AA7">
              <w:rPr>
                <w:sz w:val="18"/>
                <w:szCs w:val="18"/>
                <w:lang w:val="en-US"/>
              </w:rPr>
              <w:t xml:space="preserve"> de </w:t>
            </w:r>
            <w:proofErr w:type="spellStart"/>
            <w:r w:rsidRPr="00DB5AA7">
              <w:rPr>
                <w:sz w:val="18"/>
                <w:szCs w:val="18"/>
                <w:lang w:val="en-US"/>
              </w:rPr>
              <w:t>preţ</w:t>
            </w:r>
            <w:proofErr w:type="spellEnd"/>
            <w:r w:rsidRPr="00DB5AA7">
              <w:rPr>
                <w:sz w:val="18"/>
                <w:szCs w:val="18"/>
                <w:lang w:val="en-US"/>
              </w:rPr>
              <w:t xml:space="preserve"> la care </w:t>
            </w:r>
            <w:proofErr w:type="spellStart"/>
            <w:r w:rsidRPr="00DB5AA7">
              <w:rPr>
                <w:sz w:val="18"/>
                <w:szCs w:val="18"/>
                <w:lang w:val="en-US"/>
              </w:rPr>
              <w:t>aceasta</w:t>
            </w:r>
            <w:proofErr w:type="spellEnd"/>
            <w:r w:rsidRPr="00DB5AA7">
              <w:rPr>
                <w:sz w:val="18"/>
                <w:szCs w:val="18"/>
                <w:lang w:val="en-US"/>
              </w:rPr>
              <w:t xml:space="preserve"> </w:t>
            </w:r>
            <w:proofErr w:type="spellStart"/>
            <w:r w:rsidRPr="00DB5AA7">
              <w:rPr>
                <w:sz w:val="18"/>
                <w:szCs w:val="18"/>
                <w:lang w:val="en-US"/>
              </w:rPr>
              <w:t>este</w:t>
            </w:r>
            <w:proofErr w:type="spellEnd"/>
            <w:r w:rsidRPr="00DB5AA7">
              <w:rPr>
                <w:sz w:val="18"/>
                <w:szCs w:val="18"/>
                <w:lang w:val="en-US"/>
              </w:rPr>
              <w:t xml:space="preserve"> </w:t>
            </w:r>
            <w:proofErr w:type="spellStart"/>
            <w:r w:rsidRPr="00DB5AA7">
              <w:rPr>
                <w:sz w:val="18"/>
                <w:szCs w:val="18"/>
                <w:lang w:val="en-US"/>
              </w:rPr>
              <w:t>expusă</w:t>
            </w:r>
            <w:proofErr w:type="spellEnd"/>
            <w:r w:rsidRPr="00DB5AA7">
              <w:rPr>
                <w:sz w:val="18"/>
                <w:szCs w:val="18"/>
                <w:lang w:val="en-US"/>
              </w:rPr>
              <w:t xml:space="preserve">. </w:t>
            </w:r>
          </w:p>
          <w:p w14:paraId="51E9E13A" w14:textId="77777777" w:rsidR="00E6689E" w:rsidRDefault="00DB5AA7" w:rsidP="00632557">
            <w:pPr>
              <w:rPr>
                <w:sz w:val="18"/>
                <w:szCs w:val="18"/>
                <w:lang w:val="en-US"/>
              </w:rPr>
            </w:pPr>
            <w:proofErr w:type="spellStart"/>
            <w:r w:rsidRPr="00DB5AA7">
              <w:rPr>
                <w:sz w:val="18"/>
                <w:szCs w:val="18"/>
                <w:lang w:val="en-US"/>
              </w:rPr>
              <w:t>Diferenţa</w:t>
            </w:r>
            <w:proofErr w:type="spellEnd"/>
            <w:r w:rsidRPr="00DB5AA7">
              <w:rPr>
                <w:sz w:val="18"/>
                <w:szCs w:val="18"/>
                <w:lang w:val="en-US"/>
              </w:rPr>
              <w:t xml:space="preserve"> de </w:t>
            </w:r>
            <w:proofErr w:type="spellStart"/>
            <w:r w:rsidRPr="00DB5AA7">
              <w:rPr>
                <w:sz w:val="18"/>
                <w:szCs w:val="18"/>
                <w:lang w:val="en-US"/>
              </w:rPr>
              <w:t>preţ</w:t>
            </w:r>
            <w:proofErr w:type="spellEnd"/>
            <w:r w:rsidRPr="00DB5AA7">
              <w:rPr>
                <w:sz w:val="18"/>
                <w:szCs w:val="18"/>
                <w:lang w:val="en-US"/>
              </w:rPr>
              <w:t xml:space="preserve"> </w:t>
            </w:r>
            <w:proofErr w:type="spellStart"/>
            <w:r w:rsidRPr="00DB5AA7">
              <w:rPr>
                <w:sz w:val="18"/>
                <w:szCs w:val="18"/>
                <w:lang w:val="en-US"/>
              </w:rPr>
              <w:t>este</w:t>
            </w:r>
            <w:proofErr w:type="spellEnd"/>
            <w:r w:rsidRPr="00DB5AA7">
              <w:rPr>
                <w:sz w:val="18"/>
                <w:szCs w:val="18"/>
                <w:lang w:val="en-US"/>
              </w:rPr>
              <w:t xml:space="preserve"> </w:t>
            </w:r>
            <w:proofErr w:type="spellStart"/>
            <w:r w:rsidRPr="00DB5AA7">
              <w:rPr>
                <w:sz w:val="18"/>
                <w:szCs w:val="18"/>
                <w:lang w:val="en-US"/>
              </w:rPr>
              <w:t>calculată</w:t>
            </w:r>
            <w:proofErr w:type="spellEnd"/>
            <w:r w:rsidRPr="00DB5AA7">
              <w:rPr>
                <w:sz w:val="18"/>
                <w:szCs w:val="18"/>
                <w:lang w:val="en-US"/>
              </w:rPr>
              <w:t xml:space="preserve"> ca </w:t>
            </w:r>
            <w:proofErr w:type="spellStart"/>
            <w:r w:rsidRPr="00DB5AA7">
              <w:rPr>
                <w:sz w:val="18"/>
                <w:szCs w:val="18"/>
                <w:lang w:val="en-US"/>
              </w:rPr>
              <w:t>diferenţa</w:t>
            </w:r>
            <w:proofErr w:type="spellEnd"/>
            <w:r w:rsidRPr="00DB5AA7">
              <w:rPr>
                <w:sz w:val="18"/>
                <w:szCs w:val="18"/>
                <w:lang w:val="en-US"/>
              </w:rPr>
              <w:t xml:space="preserve"> </w:t>
            </w:r>
            <w:proofErr w:type="spellStart"/>
            <w:r w:rsidRPr="00DB5AA7">
              <w:rPr>
                <w:sz w:val="18"/>
                <w:szCs w:val="18"/>
                <w:lang w:val="en-US"/>
              </w:rPr>
              <w:t>între</w:t>
            </w:r>
            <w:proofErr w:type="spellEnd"/>
            <w:r w:rsidRPr="00DB5AA7">
              <w:rPr>
                <w:sz w:val="18"/>
                <w:szCs w:val="18"/>
                <w:lang w:val="en-US"/>
              </w:rPr>
              <w:t xml:space="preserve"> </w:t>
            </w:r>
            <w:proofErr w:type="spellStart"/>
            <w:r w:rsidRPr="00DB5AA7">
              <w:rPr>
                <w:sz w:val="18"/>
                <w:szCs w:val="18"/>
                <w:lang w:val="en-US"/>
              </w:rPr>
              <w:t>preţul</w:t>
            </w:r>
            <w:proofErr w:type="spellEnd"/>
            <w:r w:rsidRPr="00DB5AA7">
              <w:rPr>
                <w:sz w:val="18"/>
                <w:szCs w:val="18"/>
                <w:lang w:val="en-US"/>
              </w:rPr>
              <w:t xml:space="preserve"> de </w:t>
            </w:r>
            <w:proofErr w:type="spellStart"/>
            <w:r w:rsidRPr="00DB5AA7">
              <w:rPr>
                <w:sz w:val="18"/>
                <w:szCs w:val="18"/>
                <w:lang w:val="en-US"/>
              </w:rPr>
              <w:t>decontare</w:t>
            </w:r>
            <w:proofErr w:type="spellEnd"/>
            <w:r w:rsidRPr="00DB5AA7">
              <w:rPr>
                <w:sz w:val="18"/>
                <w:szCs w:val="18"/>
                <w:lang w:val="en-US"/>
              </w:rPr>
              <w:t xml:space="preserve"> </w:t>
            </w:r>
            <w:proofErr w:type="spellStart"/>
            <w:r w:rsidRPr="00DB5AA7">
              <w:rPr>
                <w:sz w:val="18"/>
                <w:szCs w:val="18"/>
                <w:lang w:val="en-US"/>
              </w:rPr>
              <w:t>convenit</w:t>
            </w:r>
            <w:proofErr w:type="spellEnd"/>
            <w:r w:rsidRPr="00DB5AA7">
              <w:rPr>
                <w:sz w:val="18"/>
                <w:szCs w:val="18"/>
                <w:lang w:val="en-US"/>
              </w:rPr>
              <w:t xml:space="preserve"> </w:t>
            </w:r>
            <w:proofErr w:type="spellStart"/>
            <w:r w:rsidRPr="00DB5AA7">
              <w:rPr>
                <w:sz w:val="18"/>
                <w:szCs w:val="18"/>
                <w:lang w:val="en-US"/>
              </w:rPr>
              <w:t>pentru</w:t>
            </w:r>
            <w:proofErr w:type="spellEnd"/>
            <w:r w:rsidRPr="00DB5AA7">
              <w:rPr>
                <w:sz w:val="18"/>
                <w:szCs w:val="18"/>
                <w:lang w:val="en-US"/>
              </w:rPr>
              <w:t xml:space="preserve"> instrument de </w:t>
            </w:r>
            <w:proofErr w:type="spellStart"/>
            <w:r w:rsidRPr="00DB5AA7">
              <w:rPr>
                <w:sz w:val="18"/>
                <w:szCs w:val="18"/>
                <w:lang w:val="en-US"/>
              </w:rPr>
              <w:t>datorie</w:t>
            </w:r>
            <w:proofErr w:type="spellEnd"/>
            <w:r w:rsidRPr="00DB5AA7">
              <w:rPr>
                <w:sz w:val="18"/>
                <w:szCs w:val="18"/>
                <w:lang w:val="en-US"/>
              </w:rPr>
              <w:t xml:space="preserve">, </w:t>
            </w:r>
            <w:proofErr w:type="spellStart"/>
            <w:r w:rsidRPr="00DB5AA7">
              <w:rPr>
                <w:sz w:val="18"/>
                <w:szCs w:val="18"/>
                <w:lang w:val="en-US"/>
              </w:rPr>
              <w:t>titlul</w:t>
            </w:r>
            <w:proofErr w:type="spellEnd"/>
            <w:r w:rsidRPr="00DB5AA7">
              <w:rPr>
                <w:sz w:val="18"/>
                <w:szCs w:val="18"/>
                <w:lang w:val="en-US"/>
              </w:rPr>
              <w:t xml:space="preserve"> de capital, valuta </w:t>
            </w:r>
            <w:proofErr w:type="spellStart"/>
            <w:r w:rsidRPr="00DB5AA7">
              <w:rPr>
                <w:sz w:val="18"/>
                <w:szCs w:val="18"/>
                <w:lang w:val="en-US"/>
              </w:rPr>
              <w:t>sau</w:t>
            </w:r>
            <w:proofErr w:type="spellEnd"/>
            <w:r w:rsidRPr="00DB5AA7">
              <w:rPr>
                <w:sz w:val="18"/>
                <w:szCs w:val="18"/>
                <w:lang w:val="en-US"/>
              </w:rPr>
              <w:t xml:space="preserve"> </w:t>
            </w:r>
            <w:proofErr w:type="spellStart"/>
            <w:r w:rsidRPr="00DB5AA7">
              <w:rPr>
                <w:sz w:val="18"/>
                <w:szCs w:val="18"/>
                <w:lang w:val="en-US"/>
              </w:rPr>
              <w:t>marfa</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cauză</w:t>
            </w:r>
            <w:proofErr w:type="spellEnd"/>
            <w:r w:rsidRPr="00DB5AA7">
              <w:rPr>
                <w:sz w:val="18"/>
                <w:szCs w:val="18"/>
                <w:lang w:val="en-US"/>
              </w:rPr>
              <w:t xml:space="preserve"> </w:t>
            </w:r>
            <w:proofErr w:type="spellStart"/>
            <w:r w:rsidRPr="00DB5AA7">
              <w:rPr>
                <w:sz w:val="18"/>
                <w:szCs w:val="18"/>
                <w:lang w:val="en-US"/>
              </w:rPr>
              <w:t>și</w:t>
            </w:r>
            <w:proofErr w:type="spellEnd"/>
            <w:r w:rsidRPr="00DB5AA7">
              <w:rPr>
                <w:sz w:val="18"/>
                <w:szCs w:val="18"/>
                <w:lang w:val="en-US"/>
              </w:rPr>
              <w:t xml:space="preserve"> </w:t>
            </w:r>
            <w:proofErr w:type="spellStart"/>
            <w:r w:rsidRPr="00DB5AA7">
              <w:rPr>
                <w:sz w:val="18"/>
                <w:szCs w:val="18"/>
                <w:lang w:val="en-US"/>
              </w:rPr>
              <w:t>valoarea</w:t>
            </w:r>
            <w:proofErr w:type="spellEnd"/>
            <w:r w:rsidRPr="00DB5AA7">
              <w:rPr>
                <w:sz w:val="18"/>
                <w:szCs w:val="18"/>
                <w:lang w:val="en-US"/>
              </w:rPr>
              <w:t xml:space="preserve"> de </w:t>
            </w:r>
            <w:proofErr w:type="spellStart"/>
            <w:r w:rsidRPr="00DB5AA7">
              <w:rPr>
                <w:sz w:val="18"/>
                <w:szCs w:val="18"/>
                <w:lang w:val="en-US"/>
              </w:rPr>
              <w:t>piaţă</w:t>
            </w:r>
            <w:proofErr w:type="spellEnd"/>
            <w:r w:rsidRPr="00DB5AA7">
              <w:rPr>
                <w:sz w:val="18"/>
                <w:szCs w:val="18"/>
                <w:lang w:val="en-US"/>
              </w:rPr>
              <w:t xml:space="preserve"> </w:t>
            </w:r>
            <w:proofErr w:type="spellStart"/>
            <w:r w:rsidRPr="00DB5AA7">
              <w:rPr>
                <w:sz w:val="18"/>
                <w:szCs w:val="18"/>
                <w:lang w:val="en-US"/>
              </w:rPr>
              <w:t>curentă</w:t>
            </w:r>
            <w:proofErr w:type="spellEnd"/>
            <w:r w:rsidRPr="00DB5AA7">
              <w:rPr>
                <w:sz w:val="18"/>
                <w:szCs w:val="18"/>
                <w:lang w:val="en-US"/>
              </w:rPr>
              <w:t xml:space="preserve">, </w:t>
            </w:r>
            <w:proofErr w:type="spellStart"/>
            <w:r w:rsidRPr="00DB5AA7">
              <w:rPr>
                <w:sz w:val="18"/>
                <w:szCs w:val="18"/>
                <w:lang w:val="en-US"/>
              </w:rPr>
              <w:t>atunci</w:t>
            </w:r>
            <w:proofErr w:type="spellEnd"/>
            <w:r w:rsidRPr="00DB5AA7">
              <w:rPr>
                <w:sz w:val="18"/>
                <w:szCs w:val="18"/>
                <w:lang w:val="en-US"/>
              </w:rPr>
              <w:t xml:space="preserve"> </w:t>
            </w:r>
            <w:proofErr w:type="spellStart"/>
            <w:r w:rsidRPr="00DB5AA7">
              <w:rPr>
                <w:sz w:val="18"/>
                <w:szCs w:val="18"/>
                <w:lang w:val="en-US"/>
              </w:rPr>
              <w:t>când</w:t>
            </w:r>
            <w:proofErr w:type="spellEnd"/>
            <w:r w:rsidRPr="00DB5AA7">
              <w:rPr>
                <w:sz w:val="18"/>
                <w:szCs w:val="18"/>
                <w:lang w:val="en-US"/>
              </w:rPr>
              <w:t xml:space="preserve"> </w:t>
            </w:r>
            <w:proofErr w:type="spellStart"/>
            <w:r w:rsidRPr="00DB5AA7">
              <w:rPr>
                <w:sz w:val="18"/>
                <w:szCs w:val="18"/>
                <w:lang w:val="en-US"/>
              </w:rPr>
              <w:t>diferenţa</w:t>
            </w:r>
            <w:proofErr w:type="spellEnd"/>
            <w:r w:rsidRPr="00DB5AA7">
              <w:rPr>
                <w:sz w:val="18"/>
                <w:szCs w:val="18"/>
                <w:lang w:val="en-US"/>
              </w:rPr>
              <w:t xml:space="preserve"> </w:t>
            </w:r>
            <w:proofErr w:type="spellStart"/>
            <w:r w:rsidRPr="00DB5AA7">
              <w:rPr>
                <w:sz w:val="18"/>
                <w:szCs w:val="18"/>
                <w:lang w:val="en-US"/>
              </w:rPr>
              <w:t>poate</w:t>
            </w:r>
            <w:proofErr w:type="spellEnd"/>
            <w:r w:rsidRPr="00DB5AA7">
              <w:rPr>
                <w:sz w:val="18"/>
                <w:szCs w:val="18"/>
                <w:lang w:val="en-US"/>
              </w:rPr>
              <w:t xml:space="preserve"> </w:t>
            </w:r>
            <w:proofErr w:type="spellStart"/>
            <w:r w:rsidRPr="00DB5AA7">
              <w:rPr>
                <w:sz w:val="18"/>
                <w:szCs w:val="18"/>
                <w:lang w:val="en-US"/>
              </w:rPr>
              <w:t>implica</w:t>
            </w:r>
            <w:proofErr w:type="spellEnd"/>
            <w:r w:rsidRPr="00DB5AA7">
              <w:rPr>
                <w:sz w:val="18"/>
                <w:szCs w:val="18"/>
                <w:lang w:val="en-US"/>
              </w:rPr>
              <w:t xml:space="preserve"> o </w:t>
            </w:r>
            <w:proofErr w:type="spellStart"/>
            <w:r w:rsidRPr="00DB5AA7">
              <w:rPr>
                <w:sz w:val="18"/>
                <w:szCs w:val="18"/>
                <w:lang w:val="en-US"/>
              </w:rPr>
              <w:t>pierdere</w:t>
            </w:r>
            <w:proofErr w:type="spellEnd"/>
            <w:r w:rsidRPr="00DB5AA7">
              <w:rPr>
                <w:sz w:val="18"/>
                <w:szCs w:val="18"/>
                <w:lang w:val="en-US"/>
              </w:rPr>
              <w:t xml:space="preserve"> </w:t>
            </w:r>
            <w:proofErr w:type="spellStart"/>
            <w:r w:rsidRPr="00DB5AA7">
              <w:rPr>
                <w:sz w:val="18"/>
                <w:szCs w:val="18"/>
                <w:lang w:val="en-US"/>
              </w:rPr>
              <w:t>pentru</w:t>
            </w:r>
            <w:proofErr w:type="spellEnd"/>
            <w:r w:rsidRPr="00DB5AA7">
              <w:rPr>
                <w:sz w:val="18"/>
                <w:szCs w:val="18"/>
                <w:lang w:val="en-US"/>
              </w:rPr>
              <w:t xml:space="preserve"> </w:t>
            </w:r>
            <w:proofErr w:type="spellStart"/>
            <w:r w:rsidRPr="00DB5AA7">
              <w:rPr>
                <w:sz w:val="18"/>
                <w:szCs w:val="18"/>
                <w:lang w:val="en-US"/>
              </w:rPr>
              <w:t>instituţia</w:t>
            </w:r>
            <w:proofErr w:type="spellEnd"/>
            <w:r w:rsidRPr="00DB5AA7">
              <w:rPr>
                <w:sz w:val="18"/>
                <w:szCs w:val="18"/>
                <w:lang w:val="en-US"/>
              </w:rPr>
              <w:t xml:space="preserve"> de credit. </w:t>
            </w:r>
          </w:p>
          <w:p w14:paraId="7E4092B2" w14:textId="77777777" w:rsidR="00E6689E" w:rsidRDefault="00DB5AA7" w:rsidP="00632557">
            <w:pPr>
              <w:rPr>
                <w:sz w:val="18"/>
                <w:szCs w:val="18"/>
                <w:lang w:val="en-US"/>
              </w:rPr>
            </w:pPr>
            <w:proofErr w:type="spellStart"/>
            <w:r w:rsidRPr="00DB5AA7">
              <w:rPr>
                <w:sz w:val="18"/>
                <w:szCs w:val="18"/>
                <w:lang w:val="en-US"/>
              </w:rPr>
              <w:t>Instituţia</w:t>
            </w:r>
            <w:proofErr w:type="spellEnd"/>
            <w:r w:rsidRPr="00DB5AA7">
              <w:rPr>
                <w:sz w:val="18"/>
                <w:szCs w:val="18"/>
                <w:lang w:val="en-US"/>
              </w:rPr>
              <w:t xml:space="preserve"> </w:t>
            </w:r>
            <w:proofErr w:type="spellStart"/>
            <w:r w:rsidRPr="00DB5AA7">
              <w:rPr>
                <w:sz w:val="18"/>
                <w:szCs w:val="18"/>
                <w:lang w:val="en-US"/>
              </w:rPr>
              <w:t>înmulţește</w:t>
            </w:r>
            <w:proofErr w:type="spellEnd"/>
            <w:r w:rsidRPr="00DB5AA7">
              <w:rPr>
                <w:sz w:val="18"/>
                <w:szCs w:val="18"/>
                <w:lang w:val="en-US"/>
              </w:rPr>
              <w:t xml:space="preserve"> </w:t>
            </w:r>
            <w:proofErr w:type="spellStart"/>
            <w:r w:rsidRPr="00DB5AA7">
              <w:rPr>
                <w:sz w:val="18"/>
                <w:szCs w:val="18"/>
                <w:lang w:val="en-US"/>
              </w:rPr>
              <w:t>această</w:t>
            </w:r>
            <w:proofErr w:type="spellEnd"/>
            <w:r w:rsidRPr="00DB5AA7">
              <w:rPr>
                <w:sz w:val="18"/>
                <w:szCs w:val="18"/>
                <w:lang w:val="en-US"/>
              </w:rPr>
              <w:t xml:space="preserve"> </w:t>
            </w:r>
            <w:proofErr w:type="spellStart"/>
            <w:r w:rsidRPr="00DB5AA7">
              <w:rPr>
                <w:sz w:val="18"/>
                <w:szCs w:val="18"/>
                <w:lang w:val="en-US"/>
              </w:rPr>
              <w:t>diferenţă</w:t>
            </w:r>
            <w:proofErr w:type="spellEnd"/>
            <w:r w:rsidRPr="00DB5AA7">
              <w:rPr>
                <w:sz w:val="18"/>
                <w:szCs w:val="18"/>
                <w:lang w:val="en-US"/>
              </w:rPr>
              <w:t xml:space="preserve"> de </w:t>
            </w:r>
            <w:proofErr w:type="spellStart"/>
            <w:r w:rsidRPr="00DB5AA7">
              <w:rPr>
                <w:sz w:val="18"/>
                <w:szCs w:val="18"/>
                <w:lang w:val="en-US"/>
              </w:rPr>
              <w:t>preţ</w:t>
            </w:r>
            <w:proofErr w:type="spellEnd"/>
            <w:r w:rsidRPr="00DB5AA7">
              <w:rPr>
                <w:sz w:val="18"/>
                <w:szCs w:val="18"/>
                <w:lang w:val="en-US"/>
              </w:rPr>
              <w:t xml:space="preserve"> cu </w:t>
            </w:r>
            <w:proofErr w:type="spellStart"/>
            <w:r w:rsidRPr="00DB5AA7">
              <w:rPr>
                <w:sz w:val="18"/>
                <w:szCs w:val="18"/>
                <w:lang w:val="en-US"/>
              </w:rPr>
              <w:t>factorul</w:t>
            </w:r>
            <w:proofErr w:type="spellEnd"/>
            <w:r w:rsidRPr="00DB5AA7">
              <w:rPr>
                <w:sz w:val="18"/>
                <w:szCs w:val="18"/>
                <w:lang w:val="en-US"/>
              </w:rPr>
              <w:t xml:space="preserve"> </w:t>
            </w:r>
            <w:proofErr w:type="spellStart"/>
            <w:r w:rsidRPr="00DB5AA7">
              <w:rPr>
                <w:sz w:val="18"/>
                <w:szCs w:val="18"/>
                <w:lang w:val="en-US"/>
              </w:rPr>
              <w:t>corespunzător</w:t>
            </w:r>
            <w:proofErr w:type="spellEnd"/>
            <w:r w:rsidRPr="00DB5AA7">
              <w:rPr>
                <w:sz w:val="18"/>
                <w:szCs w:val="18"/>
                <w:lang w:val="en-US"/>
              </w:rPr>
              <w:t xml:space="preserve"> din </w:t>
            </w:r>
            <w:proofErr w:type="spellStart"/>
            <w:r w:rsidRPr="00DB5AA7">
              <w:rPr>
                <w:sz w:val="18"/>
                <w:szCs w:val="18"/>
                <w:lang w:val="en-US"/>
              </w:rPr>
              <w:t>coloana</w:t>
            </w:r>
            <w:proofErr w:type="spellEnd"/>
            <w:r w:rsidRPr="00DB5AA7">
              <w:rPr>
                <w:sz w:val="18"/>
                <w:szCs w:val="18"/>
                <w:lang w:val="en-US"/>
              </w:rPr>
              <w:t xml:space="preserve"> din </w:t>
            </w:r>
            <w:proofErr w:type="spellStart"/>
            <w:r w:rsidRPr="00DB5AA7">
              <w:rPr>
                <w:sz w:val="18"/>
                <w:szCs w:val="18"/>
                <w:lang w:val="en-US"/>
              </w:rPr>
              <w:t>dreapta</w:t>
            </w:r>
            <w:proofErr w:type="spellEnd"/>
            <w:r w:rsidRPr="00DB5AA7">
              <w:rPr>
                <w:sz w:val="18"/>
                <w:szCs w:val="18"/>
                <w:lang w:val="en-US"/>
              </w:rPr>
              <w:t xml:space="preserve"> a </w:t>
            </w:r>
            <w:proofErr w:type="spellStart"/>
            <w:r w:rsidRPr="00DB5AA7">
              <w:rPr>
                <w:sz w:val="18"/>
                <w:szCs w:val="18"/>
                <w:lang w:val="en-US"/>
              </w:rPr>
              <w:t>tabelului</w:t>
            </w:r>
            <w:proofErr w:type="spellEnd"/>
            <w:r w:rsidRPr="00DB5AA7">
              <w:rPr>
                <w:sz w:val="18"/>
                <w:szCs w:val="18"/>
                <w:lang w:val="en-US"/>
              </w:rPr>
              <w:t xml:space="preserve"> 1 de </w:t>
            </w:r>
            <w:proofErr w:type="spellStart"/>
            <w:r w:rsidRPr="00DB5AA7">
              <w:rPr>
                <w:sz w:val="18"/>
                <w:szCs w:val="18"/>
                <w:lang w:val="en-US"/>
              </w:rPr>
              <w:t>mai</w:t>
            </w:r>
            <w:proofErr w:type="spellEnd"/>
            <w:r w:rsidRPr="00DB5AA7">
              <w:rPr>
                <w:sz w:val="18"/>
                <w:szCs w:val="18"/>
                <w:lang w:val="en-US"/>
              </w:rPr>
              <w:t xml:space="preserve"> </w:t>
            </w:r>
            <w:proofErr w:type="spellStart"/>
            <w:r w:rsidRPr="00DB5AA7">
              <w:rPr>
                <w:sz w:val="18"/>
                <w:szCs w:val="18"/>
                <w:lang w:val="en-US"/>
              </w:rPr>
              <w:t>jos</w:t>
            </w:r>
            <w:proofErr w:type="spellEnd"/>
            <w:r w:rsidRPr="00DB5AA7">
              <w:rPr>
                <w:sz w:val="18"/>
                <w:szCs w:val="18"/>
                <w:lang w:val="en-US"/>
              </w:rPr>
              <w:t xml:space="preserve"> </w:t>
            </w:r>
            <w:proofErr w:type="spellStart"/>
            <w:r w:rsidRPr="00DB5AA7">
              <w:rPr>
                <w:sz w:val="18"/>
                <w:szCs w:val="18"/>
                <w:lang w:val="en-US"/>
              </w:rPr>
              <w:t>pentru</w:t>
            </w:r>
            <w:proofErr w:type="spellEnd"/>
            <w:r w:rsidRPr="00DB5AA7">
              <w:rPr>
                <w:sz w:val="18"/>
                <w:szCs w:val="18"/>
                <w:lang w:val="en-US"/>
              </w:rPr>
              <w:t xml:space="preserve"> a </w:t>
            </w:r>
            <w:proofErr w:type="spellStart"/>
            <w:r w:rsidRPr="00DB5AA7">
              <w:rPr>
                <w:sz w:val="18"/>
                <w:szCs w:val="18"/>
                <w:lang w:val="en-US"/>
              </w:rPr>
              <w:t>calcula</w:t>
            </w:r>
            <w:proofErr w:type="spellEnd"/>
            <w:r w:rsidRPr="00DB5AA7">
              <w:rPr>
                <w:sz w:val="18"/>
                <w:szCs w:val="18"/>
                <w:lang w:val="en-US"/>
              </w:rPr>
              <w:t xml:space="preserve"> </w:t>
            </w:r>
            <w:proofErr w:type="spellStart"/>
            <w:r w:rsidRPr="00DB5AA7">
              <w:rPr>
                <w:sz w:val="18"/>
                <w:szCs w:val="18"/>
                <w:lang w:val="en-US"/>
              </w:rPr>
              <w:t>cerinţa</w:t>
            </w:r>
            <w:proofErr w:type="spellEnd"/>
            <w:r w:rsidRPr="00DB5AA7">
              <w:rPr>
                <w:sz w:val="18"/>
                <w:szCs w:val="18"/>
                <w:lang w:val="en-US"/>
              </w:rPr>
              <w:t xml:space="preserve"> de </w:t>
            </w:r>
            <w:proofErr w:type="spellStart"/>
            <w:r w:rsidRPr="00DB5AA7">
              <w:rPr>
                <w:sz w:val="18"/>
                <w:szCs w:val="18"/>
                <w:lang w:val="en-US"/>
              </w:rPr>
              <w:t>fonduri</w:t>
            </w:r>
            <w:proofErr w:type="spellEnd"/>
            <w:r w:rsidRPr="00DB5AA7">
              <w:rPr>
                <w:sz w:val="18"/>
                <w:szCs w:val="18"/>
                <w:lang w:val="en-US"/>
              </w:rPr>
              <w:t xml:space="preserve"> </w:t>
            </w:r>
            <w:proofErr w:type="spellStart"/>
            <w:r w:rsidRPr="00DB5AA7">
              <w:rPr>
                <w:sz w:val="18"/>
                <w:szCs w:val="18"/>
                <w:lang w:val="en-US"/>
              </w:rPr>
              <w:t>proprii</w:t>
            </w:r>
            <w:proofErr w:type="spellEnd"/>
            <w:r w:rsidRPr="00DB5AA7">
              <w:rPr>
                <w:sz w:val="18"/>
                <w:szCs w:val="18"/>
                <w:lang w:val="en-US"/>
              </w:rPr>
              <w:t xml:space="preserve"> </w:t>
            </w:r>
            <w:proofErr w:type="gramStart"/>
            <w:r w:rsidRPr="00DB5AA7">
              <w:rPr>
                <w:sz w:val="18"/>
                <w:szCs w:val="18"/>
                <w:lang w:val="en-US"/>
              </w:rPr>
              <w:t>a</w:t>
            </w:r>
            <w:proofErr w:type="gramEnd"/>
            <w:r w:rsidRPr="00DB5AA7">
              <w:rPr>
                <w:sz w:val="18"/>
                <w:szCs w:val="18"/>
                <w:lang w:val="en-US"/>
              </w:rPr>
              <w:t xml:space="preserve"> </w:t>
            </w:r>
            <w:proofErr w:type="spellStart"/>
            <w:r w:rsidRPr="00DB5AA7">
              <w:rPr>
                <w:sz w:val="18"/>
                <w:szCs w:val="18"/>
                <w:lang w:val="en-US"/>
              </w:rPr>
              <w:t>instituţiei</w:t>
            </w:r>
            <w:proofErr w:type="spellEnd"/>
            <w:r w:rsidRPr="00DB5AA7">
              <w:rPr>
                <w:sz w:val="18"/>
                <w:szCs w:val="18"/>
                <w:lang w:val="en-US"/>
              </w:rPr>
              <w:t xml:space="preserve"> </w:t>
            </w:r>
            <w:proofErr w:type="spellStart"/>
            <w:r w:rsidRPr="00DB5AA7">
              <w:rPr>
                <w:sz w:val="18"/>
                <w:szCs w:val="18"/>
                <w:lang w:val="en-US"/>
              </w:rPr>
              <w:t>pentru</w:t>
            </w:r>
            <w:proofErr w:type="spellEnd"/>
            <w:r w:rsidRPr="00DB5AA7">
              <w:rPr>
                <w:sz w:val="18"/>
                <w:szCs w:val="18"/>
                <w:lang w:val="en-US"/>
              </w:rPr>
              <w:t xml:space="preserve"> </w:t>
            </w:r>
            <w:proofErr w:type="spellStart"/>
            <w:r w:rsidRPr="00DB5AA7">
              <w:rPr>
                <w:sz w:val="18"/>
                <w:szCs w:val="18"/>
                <w:lang w:val="en-US"/>
              </w:rPr>
              <w:t>riscul</w:t>
            </w:r>
            <w:proofErr w:type="spellEnd"/>
            <w:r w:rsidRPr="00DB5AA7">
              <w:rPr>
                <w:sz w:val="18"/>
                <w:szCs w:val="18"/>
                <w:lang w:val="en-US"/>
              </w:rPr>
              <w:t xml:space="preserve"> de </w:t>
            </w:r>
            <w:proofErr w:type="spellStart"/>
            <w:r w:rsidRPr="00DB5AA7">
              <w:rPr>
                <w:sz w:val="18"/>
                <w:szCs w:val="18"/>
                <w:lang w:val="en-US"/>
              </w:rPr>
              <w:t>decontare</w:t>
            </w:r>
            <w:proofErr w:type="spellEnd"/>
            <w:r w:rsidRPr="00DB5AA7">
              <w:rPr>
                <w:sz w:val="18"/>
                <w:szCs w:val="18"/>
                <w:lang w:val="en-US"/>
              </w:rPr>
              <w:t>.</w:t>
            </w:r>
          </w:p>
          <w:p w14:paraId="22545D08" w14:textId="77777777" w:rsidR="00067C06" w:rsidRDefault="00067C06" w:rsidP="00632557">
            <w:pPr>
              <w:rPr>
                <w:sz w:val="18"/>
                <w:szCs w:val="18"/>
                <w:lang w:val="en-US"/>
              </w:rPr>
            </w:pPr>
          </w:p>
          <w:p w14:paraId="560EDAA8" w14:textId="77777777" w:rsidR="00E6689E" w:rsidRDefault="00DB5AA7" w:rsidP="00632557">
            <w:pPr>
              <w:rPr>
                <w:sz w:val="18"/>
                <w:szCs w:val="18"/>
                <w:lang w:val="en-US"/>
              </w:rPr>
            </w:pPr>
            <w:proofErr w:type="spellStart"/>
            <w:r w:rsidRPr="00DB5AA7">
              <w:rPr>
                <w:sz w:val="18"/>
                <w:szCs w:val="18"/>
                <w:lang w:val="en-US"/>
              </w:rPr>
              <w:t>Tabelul</w:t>
            </w:r>
            <w:proofErr w:type="spellEnd"/>
            <w:r w:rsidRPr="00DB5AA7">
              <w:rPr>
                <w:sz w:val="18"/>
                <w:szCs w:val="18"/>
                <w:lang w:val="en-US"/>
              </w:rPr>
              <w:t xml:space="preserve"> 1</w:t>
            </w:r>
          </w:p>
          <w:p w14:paraId="6C28DBB4" w14:textId="77777777" w:rsidR="00E6689E" w:rsidRDefault="00E6689E" w:rsidP="00632557">
            <w:pPr>
              <w:rPr>
                <w:sz w:val="18"/>
                <w:szCs w:val="18"/>
                <w:lang w:val="en-US"/>
              </w:rPr>
            </w:pPr>
          </w:p>
          <w:tbl>
            <w:tblPr>
              <w:tblW w:w="274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405"/>
              <w:gridCol w:w="340"/>
            </w:tblGrid>
            <w:tr w:rsidR="00067C06" w:rsidRPr="00067C06" w14:paraId="6EA52065" w14:textId="77777777" w:rsidTr="00067C06">
              <w:trPr>
                <w:trHeight w:val="553"/>
              </w:trPr>
              <w:tc>
                <w:tcPr>
                  <w:tcW w:w="24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94A6BC" w14:textId="77777777" w:rsidR="00067C06" w:rsidRPr="00067C06" w:rsidRDefault="00067C06" w:rsidP="00067C06">
                  <w:pPr>
                    <w:spacing w:before="60" w:after="60"/>
                    <w:jc w:val="both"/>
                    <w:rPr>
                      <w:b/>
                      <w:bCs/>
                      <w:color w:val="000000"/>
                      <w:sz w:val="16"/>
                      <w:szCs w:val="16"/>
                      <w:lang w:val="ro-MD" w:eastAsia="ro-MD"/>
                    </w:rPr>
                  </w:pPr>
                  <w:r w:rsidRPr="00067C06">
                    <w:rPr>
                      <w:b/>
                      <w:bCs/>
                      <w:color w:val="000000"/>
                      <w:sz w:val="16"/>
                      <w:szCs w:val="16"/>
                      <w:lang w:val="ro-MD" w:eastAsia="ro-MD"/>
                    </w:rPr>
                    <w:t>Numărul de zile lucrătoare după data scadentă pentru decontare</w:t>
                  </w:r>
                </w:p>
              </w:tc>
              <w:tc>
                <w:tcPr>
                  <w:tcW w:w="3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CD7243" w14:textId="77777777" w:rsidR="00067C06" w:rsidRPr="00067C06" w:rsidRDefault="00067C06" w:rsidP="00067C06">
                  <w:pPr>
                    <w:spacing w:before="60" w:after="60"/>
                    <w:jc w:val="both"/>
                    <w:rPr>
                      <w:b/>
                      <w:bCs/>
                      <w:color w:val="000000"/>
                      <w:sz w:val="16"/>
                      <w:szCs w:val="16"/>
                      <w:lang w:val="ro-MD" w:eastAsia="ro-MD"/>
                    </w:rPr>
                  </w:pPr>
                  <w:r w:rsidRPr="00067C06">
                    <w:rPr>
                      <w:b/>
                      <w:bCs/>
                      <w:color w:val="000000"/>
                      <w:sz w:val="16"/>
                      <w:szCs w:val="16"/>
                      <w:lang w:val="ro-MD" w:eastAsia="ro-MD"/>
                    </w:rPr>
                    <w:t>(%)</w:t>
                  </w:r>
                </w:p>
              </w:tc>
            </w:tr>
            <w:tr w:rsidR="00067C06" w:rsidRPr="00067C06" w14:paraId="5D45267A" w14:textId="77777777" w:rsidTr="00067C06">
              <w:trPr>
                <w:trHeight w:val="335"/>
              </w:trPr>
              <w:tc>
                <w:tcPr>
                  <w:tcW w:w="24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D8BB66" w14:textId="77777777" w:rsidR="00067C06" w:rsidRPr="00067C06" w:rsidRDefault="00067C06" w:rsidP="00067C06">
                  <w:pPr>
                    <w:spacing w:before="60" w:after="60"/>
                    <w:jc w:val="both"/>
                    <w:rPr>
                      <w:color w:val="000000"/>
                      <w:sz w:val="16"/>
                      <w:szCs w:val="16"/>
                      <w:lang w:val="ro-MD" w:eastAsia="ro-MD"/>
                    </w:rPr>
                  </w:pPr>
                  <w:r w:rsidRPr="00067C06">
                    <w:rPr>
                      <w:color w:val="000000"/>
                      <w:sz w:val="16"/>
                      <w:szCs w:val="16"/>
                      <w:lang w:val="ro-MD" w:eastAsia="ro-MD"/>
                    </w:rPr>
                    <w:t>5 — 15</w:t>
                  </w:r>
                </w:p>
              </w:tc>
              <w:tc>
                <w:tcPr>
                  <w:tcW w:w="3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9A29DF" w14:textId="77777777" w:rsidR="00067C06" w:rsidRPr="00067C06" w:rsidRDefault="00067C06" w:rsidP="00067C06">
                  <w:pPr>
                    <w:spacing w:before="60" w:after="60"/>
                    <w:jc w:val="both"/>
                    <w:rPr>
                      <w:color w:val="000000"/>
                      <w:sz w:val="16"/>
                      <w:szCs w:val="16"/>
                      <w:lang w:val="ro-MD" w:eastAsia="ro-MD"/>
                    </w:rPr>
                  </w:pPr>
                  <w:r w:rsidRPr="00067C06">
                    <w:rPr>
                      <w:color w:val="000000"/>
                      <w:sz w:val="16"/>
                      <w:szCs w:val="16"/>
                      <w:lang w:val="ro-MD" w:eastAsia="ro-MD"/>
                    </w:rPr>
                    <w:t>8</w:t>
                  </w:r>
                </w:p>
              </w:tc>
            </w:tr>
            <w:tr w:rsidR="00067C06" w:rsidRPr="00067C06" w14:paraId="537D43BC" w14:textId="77777777" w:rsidTr="00067C06">
              <w:trPr>
                <w:trHeight w:val="335"/>
              </w:trPr>
              <w:tc>
                <w:tcPr>
                  <w:tcW w:w="24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E207B0" w14:textId="77777777" w:rsidR="00067C06" w:rsidRPr="00067C06" w:rsidRDefault="00067C06" w:rsidP="00067C06">
                  <w:pPr>
                    <w:spacing w:before="60" w:after="60"/>
                    <w:jc w:val="both"/>
                    <w:rPr>
                      <w:color w:val="000000"/>
                      <w:sz w:val="16"/>
                      <w:szCs w:val="16"/>
                      <w:lang w:val="ro-MD" w:eastAsia="ro-MD"/>
                    </w:rPr>
                  </w:pPr>
                  <w:r w:rsidRPr="00067C06">
                    <w:rPr>
                      <w:color w:val="000000"/>
                      <w:sz w:val="16"/>
                      <w:szCs w:val="16"/>
                      <w:lang w:val="ro-MD" w:eastAsia="ro-MD"/>
                    </w:rPr>
                    <w:t>16 — 30</w:t>
                  </w:r>
                </w:p>
              </w:tc>
              <w:tc>
                <w:tcPr>
                  <w:tcW w:w="3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4DBDF5" w14:textId="77777777" w:rsidR="00067C06" w:rsidRPr="00067C06" w:rsidRDefault="00067C06" w:rsidP="00067C06">
                  <w:pPr>
                    <w:spacing w:before="60" w:after="60"/>
                    <w:jc w:val="both"/>
                    <w:rPr>
                      <w:color w:val="000000"/>
                      <w:sz w:val="16"/>
                      <w:szCs w:val="16"/>
                      <w:lang w:val="ro-MD" w:eastAsia="ro-MD"/>
                    </w:rPr>
                  </w:pPr>
                  <w:r w:rsidRPr="00067C06">
                    <w:rPr>
                      <w:color w:val="000000"/>
                      <w:sz w:val="16"/>
                      <w:szCs w:val="16"/>
                      <w:lang w:val="ro-MD" w:eastAsia="ro-MD"/>
                    </w:rPr>
                    <w:t>50</w:t>
                  </w:r>
                </w:p>
              </w:tc>
            </w:tr>
            <w:tr w:rsidR="00067C06" w:rsidRPr="00067C06" w14:paraId="4D317795" w14:textId="77777777" w:rsidTr="00067C06">
              <w:trPr>
                <w:trHeight w:val="335"/>
              </w:trPr>
              <w:tc>
                <w:tcPr>
                  <w:tcW w:w="24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9C5413" w14:textId="77777777" w:rsidR="00067C06" w:rsidRPr="00067C06" w:rsidRDefault="00067C06" w:rsidP="00067C06">
                  <w:pPr>
                    <w:spacing w:before="60" w:after="60"/>
                    <w:jc w:val="both"/>
                    <w:rPr>
                      <w:color w:val="000000"/>
                      <w:sz w:val="16"/>
                      <w:szCs w:val="16"/>
                      <w:lang w:val="ro-MD" w:eastAsia="ro-MD"/>
                    </w:rPr>
                  </w:pPr>
                  <w:r w:rsidRPr="00067C06">
                    <w:rPr>
                      <w:color w:val="000000"/>
                      <w:sz w:val="16"/>
                      <w:szCs w:val="16"/>
                      <w:lang w:val="ro-MD" w:eastAsia="ro-MD"/>
                    </w:rPr>
                    <w:t>31 — 45</w:t>
                  </w:r>
                </w:p>
              </w:tc>
              <w:tc>
                <w:tcPr>
                  <w:tcW w:w="3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52090A" w14:textId="77777777" w:rsidR="00067C06" w:rsidRPr="00067C06" w:rsidRDefault="00067C06" w:rsidP="00067C06">
                  <w:pPr>
                    <w:spacing w:before="60" w:after="60"/>
                    <w:jc w:val="both"/>
                    <w:rPr>
                      <w:color w:val="000000"/>
                      <w:sz w:val="16"/>
                      <w:szCs w:val="16"/>
                      <w:lang w:val="ro-MD" w:eastAsia="ro-MD"/>
                    </w:rPr>
                  </w:pPr>
                  <w:r w:rsidRPr="00067C06">
                    <w:rPr>
                      <w:color w:val="000000"/>
                      <w:sz w:val="16"/>
                      <w:szCs w:val="16"/>
                      <w:lang w:val="ro-MD" w:eastAsia="ro-MD"/>
                    </w:rPr>
                    <w:t>75</w:t>
                  </w:r>
                </w:p>
              </w:tc>
            </w:tr>
            <w:tr w:rsidR="00067C06" w:rsidRPr="00067C06" w14:paraId="35F842E1" w14:textId="77777777" w:rsidTr="00067C06">
              <w:trPr>
                <w:trHeight w:val="352"/>
              </w:trPr>
              <w:tc>
                <w:tcPr>
                  <w:tcW w:w="24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C57CBF" w14:textId="77777777" w:rsidR="00067C06" w:rsidRPr="00067C06" w:rsidRDefault="00067C06" w:rsidP="00067C06">
                  <w:pPr>
                    <w:spacing w:before="60" w:after="60"/>
                    <w:jc w:val="both"/>
                    <w:rPr>
                      <w:color w:val="000000"/>
                      <w:sz w:val="16"/>
                      <w:szCs w:val="16"/>
                      <w:lang w:val="ro-MD" w:eastAsia="ro-MD"/>
                    </w:rPr>
                  </w:pPr>
                  <w:r w:rsidRPr="00067C06">
                    <w:rPr>
                      <w:color w:val="000000"/>
                      <w:sz w:val="16"/>
                      <w:szCs w:val="16"/>
                      <w:lang w:val="ro-MD" w:eastAsia="ro-MD"/>
                    </w:rPr>
                    <w:t>46 sau mai multe</w:t>
                  </w:r>
                </w:p>
              </w:tc>
              <w:tc>
                <w:tcPr>
                  <w:tcW w:w="3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4FA1A0" w14:textId="77777777" w:rsidR="00067C06" w:rsidRPr="00067C06" w:rsidRDefault="00067C06" w:rsidP="00067C06">
                  <w:pPr>
                    <w:spacing w:before="60" w:after="60"/>
                    <w:jc w:val="both"/>
                    <w:rPr>
                      <w:color w:val="000000"/>
                      <w:sz w:val="16"/>
                      <w:szCs w:val="16"/>
                      <w:lang w:val="ro-MD" w:eastAsia="ro-MD"/>
                    </w:rPr>
                  </w:pPr>
                  <w:r w:rsidRPr="00067C06">
                    <w:rPr>
                      <w:color w:val="000000"/>
                      <w:sz w:val="16"/>
                      <w:szCs w:val="16"/>
                      <w:lang w:val="ro-MD" w:eastAsia="ro-MD"/>
                    </w:rPr>
                    <w:t>100</w:t>
                  </w:r>
                </w:p>
              </w:tc>
            </w:tr>
          </w:tbl>
          <w:p w14:paraId="16919742" w14:textId="74C1923E" w:rsidR="00632557" w:rsidRPr="00DB5AA7" w:rsidRDefault="00632557" w:rsidP="00632557">
            <w:pPr>
              <w:rPr>
                <w:sz w:val="18"/>
                <w:szCs w:val="18"/>
                <w:lang w:val="en-US"/>
              </w:rPr>
            </w:pPr>
          </w:p>
        </w:tc>
        <w:tc>
          <w:tcPr>
            <w:tcW w:w="3685" w:type="dxa"/>
            <w:shd w:val="clear" w:color="auto" w:fill="auto"/>
          </w:tcPr>
          <w:p w14:paraId="0FCC2569" w14:textId="77777777" w:rsidR="00775E84" w:rsidRPr="00775E84" w:rsidRDefault="00775E84" w:rsidP="00775E84">
            <w:pPr>
              <w:tabs>
                <w:tab w:val="left" w:pos="175"/>
              </w:tabs>
              <w:ind w:left="-43"/>
              <w:jc w:val="both"/>
              <w:rPr>
                <w:b/>
                <w:bCs/>
                <w:color w:val="000000"/>
                <w:sz w:val="18"/>
                <w:szCs w:val="18"/>
                <w:lang w:val="ro-MD"/>
              </w:rPr>
            </w:pPr>
            <w:r w:rsidRPr="00775E84">
              <w:rPr>
                <w:b/>
                <w:bCs/>
                <w:color w:val="000000"/>
                <w:sz w:val="18"/>
                <w:szCs w:val="18"/>
                <w:lang w:val="ro-MD"/>
              </w:rPr>
              <w:t>Capitolul II</w:t>
            </w:r>
          </w:p>
          <w:p w14:paraId="25C3EF62" w14:textId="77777777" w:rsidR="00775E84" w:rsidRPr="00775E84" w:rsidRDefault="00775E84" w:rsidP="00775E84">
            <w:pPr>
              <w:tabs>
                <w:tab w:val="left" w:pos="175"/>
              </w:tabs>
              <w:ind w:left="-43"/>
              <w:jc w:val="both"/>
              <w:rPr>
                <w:b/>
                <w:bCs/>
                <w:color w:val="000000"/>
                <w:sz w:val="18"/>
                <w:szCs w:val="18"/>
                <w:lang w:val="ro-MD"/>
              </w:rPr>
            </w:pPr>
            <w:r w:rsidRPr="00775E84">
              <w:rPr>
                <w:b/>
                <w:bCs/>
                <w:color w:val="000000"/>
                <w:sz w:val="18"/>
                <w:szCs w:val="18"/>
                <w:lang w:val="ro-MD"/>
              </w:rPr>
              <w:t> RISCUL DE DECONTARE</w:t>
            </w:r>
          </w:p>
          <w:p w14:paraId="68C34BF4" w14:textId="77777777" w:rsidR="00775E84" w:rsidRPr="00775E84" w:rsidRDefault="00775E84" w:rsidP="00775E84">
            <w:pPr>
              <w:tabs>
                <w:tab w:val="left" w:pos="175"/>
              </w:tabs>
              <w:ind w:left="-43"/>
              <w:jc w:val="both"/>
              <w:rPr>
                <w:color w:val="000000"/>
                <w:sz w:val="18"/>
                <w:szCs w:val="18"/>
                <w:lang w:val="ro-MD"/>
              </w:rPr>
            </w:pPr>
            <w:r w:rsidRPr="00775E84">
              <w:rPr>
                <w:b/>
                <w:bCs/>
                <w:color w:val="000000"/>
                <w:sz w:val="18"/>
                <w:szCs w:val="18"/>
                <w:lang w:val="ro-MD"/>
              </w:rPr>
              <w:t>5.</w:t>
            </w:r>
            <w:r w:rsidRPr="00775E84">
              <w:rPr>
                <w:color w:val="000000"/>
                <w:sz w:val="18"/>
                <w:szCs w:val="18"/>
                <w:lang w:val="ro-MD"/>
              </w:rPr>
              <w:t xml:space="preserve"> În cazul </w:t>
            </w:r>
            <w:proofErr w:type="spellStart"/>
            <w:r w:rsidRPr="00775E84">
              <w:rPr>
                <w:color w:val="000000"/>
                <w:sz w:val="18"/>
                <w:szCs w:val="18"/>
                <w:lang w:val="ro-MD"/>
              </w:rPr>
              <w:t>tranzacţiilor</w:t>
            </w:r>
            <w:proofErr w:type="spellEnd"/>
            <w:r w:rsidRPr="00775E84">
              <w:rPr>
                <w:color w:val="000000"/>
                <w:sz w:val="18"/>
                <w:szCs w:val="18"/>
                <w:lang w:val="ro-MD"/>
              </w:rPr>
              <w:t xml:space="preserve"> în care instrumentele de datorie, titlurile de capital, monedele </w:t>
            </w:r>
            <w:proofErr w:type="spellStart"/>
            <w:r w:rsidRPr="00775E84">
              <w:rPr>
                <w:color w:val="000000"/>
                <w:sz w:val="18"/>
                <w:szCs w:val="18"/>
                <w:lang w:val="ro-MD"/>
              </w:rPr>
              <w:t>şi</w:t>
            </w:r>
            <w:proofErr w:type="spellEnd"/>
            <w:r w:rsidRPr="00775E84">
              <w:rPr>
                <w:color w:val="000000"/>
                <w:sz w:val="18"/>
                <w:szCs w:val="18"/>
                <w:lang w:val="ro-MD"/>
              </w:rPr>
              <w:t xml:space="preserve"> mărfurile (cu </w:t>
            </w:r>
            <w:proofErr w:type="spellStart"/>
            <w:r w:rsidRPr="00775E84">
              <w:rPr>
                <w:color w:val="000000"/>
                <w:sz w:val="18"/>
                <w:szCs w:val="18"/>
                <w:lang w:val="ro-MD"/>
              </w:rPr>
              <w:t>excepţia</w:t>
            </w:r>
            <w:proofErr w:type="spellEnd"/>
            <w:r w:rsidRPr="00775E84">
              <w:rPr>
                <w:color w:val="000000"/>
                <w:sz w:val="18"/>
                <w:szCs w:val="18"/>
                <w:lang w:val="ro-MD"/>
              </w:rPr>
              <w:t xml:space="preserve"> </w:t>
            </w:r>
            <w:proofErr w:type="spellStart"/>
            <w:r w:rsidRPr="00775E84">
              <w:rPr>
                <w:color w:val="000000"/>
                <w:sz w:val="18"/>
                <w:szCs w:val="18"/>
                <w:lang w:val="ro-MD"/>
              </w:rPr>
              <w:t>tranzacţiilor</w:t>
            </w:r>
            <w:proofErr w:type="spellEnd"/>
            <w:r w:rsidRPr="00775E84">
              <w:rPr>
                <w:color w:val="000000"/>
                <w:sz w:val="18"/>
                <w:szCs w:val="18"/>
                <w:lang w:val="ro-MD"/>
              </w:rPr>
              <w:t xml:space="preserve"> de răscumpărare, </w:t>
            </w:r>
            <w:proofErr w:type="spellStart"/>
            <w:r w:rsidRPr="00775E84">
              <w:rPr>
                <w:color w:val="000000"/>
                <w:sz w:val="18"/>
                <w:szCs w:val="18"/>
                <w:lang w:val="ro-MD"/>
              </w:rPr>
              <w:t>operaţiunilor</w:t>
            </w:r>
            <w:proofErr w:type="spellEnd"/>
            <w:r w:rsidRPr="00775E84">
              <w:rPr>
                <w:color w:val="000000"/>
                <w:sz w:val="18"/>
                <w:szCs w:val="18"/>
                <w:lang w:val="ro-MD"/>
              </w:rPr>
              <w:t xml:space="preserve"> de dare de valori mobiliare /mărfuri cu împrumut </w:t>
            </w:r>
            <w:proofErr w:type="spellStart"/>
            <w:r w:rsidRPr="00775E84">
              <w:rPr>
                <w:color w:val="000000"/>
                <w:sz w:val="18"/>
                <w:szCs w:val="18"/>
                <w:lang w:val="ro-MD"/>
              </w:rPr>
              <w:t>şi</w:t>
            </w:r>
            <w:proofErr w:type="spellEnd"/>
            <w:r w:rsidRPr="00775E84">
              <w:rPr>
                <w:color w:val="000000"/>
                <w:sz w:val="18"/>
                <w:szCs w:val="18"/>
                <w:lang w:val="ro-MD"/>
              </w:rPr>
              <w:t xml:space="preserve"> </w:t>
            </w:r>
            <w:proofErr w:type="spellStart"/>
            <w:r w:rsidRPr="00775E84">
              <w:rPr>
                <w:color w:val="000000"/>
                <w:sz w:val="18"/>
                <w:szCs w:val="18"/>
                <w:lang w:val="ro-MD"/>
              </w:rPr>
              <w:t>operaţiunilor</w:t>
            </w:r>
            <w:proofErr w:type="spellEnd"/>
            <w:r w:rsidRPr="00775E84">
              <w:rPr>
                <w:color w:val="000000"/>
                <w:sz w:val="18"/>
                <w:szCs w:val="18"/>
                <w:lang w:val="ro-MD"/>
              </w:rPr>
              <w:t xml:space="preserve"> de luare de valori mobiliare /mărfuri cu împrumut), rămân nedecontate după datele de livrare scadente ale acestora, banca trebuie să calculeze </w:t>
            </w:r>
            <w:proofErr w:type="spellStart"/>
            <w:r w:rsidRPr="00775E84">
              <w:rPr>
                <w:color w:val="000000"/>
                <w:sz w:val="18"/>
                <w:szCs w:val="18"/>
                <w:lang w:val="ro-MD"/>
              </w:rPr>
              <w:t>diferenţa</w:t>
            </w:r>
            <w:proofErr w:type="spellEnd"/>
            <w:r w:rsidRPr="00775E84">
              <w:rPr>
                <w:color w:val="000000"/>
                <w:sz w:val="18"/>
                <w:szCs w:val="18"/>
                <w:lang w:val="ro-MD"/>
              </w:rPr>
              <w:t xml:space="preserve"> de </w:t>
            </w:r>
            <w:proofErr w:type="spellStart"/>
            <w:r w:rsidRPr="00775E84">
              <w:rPr>
                <w:color w:val="000000"/>
                <w:sz w:val="18"/>
                <w:szCs w:val="18"/>
                <w:lang w:val="ro-MD"/>
              </w:rPr>
              <w:t>preţ</w:t>
            </w:r>
            <w:proofErr w:type="spellEnd"/>
            <w:r w:rsidRPr="00775E84">
              <w:rPr>
                <w:color w:val="000000"/>
                <w:sz w:val="18"/>
                <w:szCs w:val="18"/>
                <w:lang w:val="ro-MD"/>
              </w:rPr>
              <w:t xml:space="preserve"> la care aceasta este expusă.</w:t>
            </w:r>
          </w:p>
          <w:p w14:paraId="2745C92D" w14:textId="77777777" w:rsidR="00775E84" w:rsidRPr="00775E84" w:rsidRDefault="00775E84" w:rsidP="00775E84">
            <w:pPr>
              <w:tabs>
                <w:tab w:val="left" w:pos="175"/>
              </w:tabs>
              <w:ind w:left="-43"/>
              <w:jc w:val="both"/>
              <w:rPr>
                <w:color w:val="000000"/>
                <w:sz w:val="18"/>
                <w:szCs w:val="18"/>
                <w:lang w:val="ro-MD"/>
              </w:rPr>
            </w:pPr>
            <w:r w:rsidRPr="00775E84">
              <w:rPr>
                <w:b/>
                <w:bCs/>
                <w:color w:val="000000"/>
                <w:sz w:val="18"/>
                <w:szCs w:val="18"/>
                <w:lang w:val="ro-MD"/>
              </w:rPr>
              <w:t>6.</w:t>
            </w:r>
            <w:r w:rsidRPr="00775E84">
              <w:rPr>
                <w:color w:val="000000"/>
                <w:sz w:val="18"/>
                <w:szCs w:val="18"/>
                <w:lang w:val="ro-MD"/>
              </w:rPr>
              <w:t xml:space="preserve"> </w:t>
            </w:r>
            <w:proofErr w:type="spellStart"/>
            <w:r w:rsidRPr="00775E84">
              <w:rPr>
                <w:color w:val="000000"/>
                <w:sz w:val="18"/>
                <w:szCs w:val="18"/>
                <w:lang w:val="ro-MD"/>
              </w:rPr>
              <w:t>Diferenţa</w:t>
            </w:r>
            <w:proofErr w:type="spellEnd"/>
            <w:r w:rsidRPr="00775E84">
              <w:rPr>
                <w:color w:val="000000"/>
                <w:sz w:val="18"/>
                <w:szCs w:val="18"/>
                <w:lang w:val="ro-MD"/>
              </w:rPr>
              <w:t xml:space="preserve"> de </w:t>
            </w:r>
            <w:proofErr w:type="spellStart"/>
            <w:r w:rsidRPr="00775E84">
              <w:rPr>
                <w:color w:val="000000"/>
                <w:sz w:val="18"/>
                <w:szCs w:val="18"/>
                <w:lang w:val="ro-MD"/>
              </w:rPr>
              <w:t>preţ</w:t>
            </w:r>
            <w:proofErr w:type="spellEnd"/>
            <w:r w:rsidRPr="00775E84">
              <w:rPr>
                <w:color w:val="000000"/>
                <w:sz w:val="18"/>
                <w:szCs w:val="18"/>
                <w:lang w:val="ro-MD"/>
              </w:rPr>
              <w:t xml:space="preserve">, </w:t>
            </w:r>
            <w:proofErr w:type="spellStart"/>
            <w:r w:rsidRPr="00775E84">
              <w:rPr>
                <w:color w:val="000000"/>
                <w:sz w:val="18"/>
                <w:szCs w:val="18"/>
                <w:lang w:val="ro-MD"/>
              </w:rPr>
              <w:t>menţionată</w:t>
            </w:r>
            <w:proofErr w:type="spellEnd"/>
            <w:r w:rsidRPr="00775E84">
              <w:rPr>
                <w:color w:val="000000"/>
                <w:sz w:val="18"/>
                <w:szCs w:val="18"/>
                <w:lang w:val="ro-MD"/>
              </w:rPr>
              <w:t xml:space="preserve"> la punctul 5 din prezentul regulament, se calculează ca </w:t>
            </w:r>
            <w:proofErr w:type="spellStart"/>
            <w:r w:rsidRPr="00775E84">
              <w:rPr>
                <w:color w:val="000000"/>
                <w:sz w:val="18"/>
                <w:szCs w:val="18"/>
                <w:lang w:val="ro-MD"/>
              </w:rPr>
              <w:t>diferenţa</w:t>
            </w:r>
            <w:proofErr w:type="spellEnd"/>
            <w:r w:rsidRPr="00775E84">
              <w:rPr>
                <w:color w:val="000000"/>
                <w:sz w:val="18"/>
                <w:szCs w:val="18"/>
                <w:lang w:val="ro-MD"/>
              </w:rPr>
              <w:t xml:space="preserve"> între </w:t>
            </w:r>
            <w:proofErr w:type="spellStart"/>
            <w:r w:rsidRPr="00775E84">
              <w:rPr>
                <w:color w:val="000000"/>
                <w:sz w:val="18"/>
                <w:szCs w:val="18"/>
                <w:lang w:val="ro-MD"/>
              </w:rPr>
              <w:t>preţul</w:t>
            </w:r>
            <w:proofErr w:type="spellEnd"/>
            <w:r w:rsidRPr="00775E84">
              <w:rPr>
                <w:color w:val="000000"/>
                <w:sz w:val="18"/>
                <w:szCs w:val="18"/>
                <w:lang w:val="ro-MD"/>
              </w:rPr>
              <w:t xml:space="preserve"> de decontare convenit pentru instrumentul de datorie, titlul de capital, moneda sau marfa în cauză </w:t>
            </w:r>
            <w:proofErr w:type="spellStart"/>
            <w:r w:rsidRPr="00775E84">
              <w:rPr>
                <w:color w:val="000000"/>
                <w:sz w:val="18"/>
                <w:szCs w:val="18"/>
                <w:lang w:val="ro-MD"/>
              </w:rPr>
              <w:t>şi</w:t>
            </w:r>
            <w:proofErr w:type="spellEnd"/>
            <w:r w:rsidRPr="00775E84">
              <w:rPr>
                <w:color w:val="000000"/>
                <w:sz w:val="18"/>
                <w:szCs w:val="18"/>
                <w:lang w:val="ro-MD"/>
              </w:rPr>
              <w:t xml:space="preserve"> valoarea de </w:t>
            </w:r>
            <w:proofErr w:type="spellStart"/>
            <w:r w:rsidRPr="00775E84">
              <w:rPr>
                <w:color w:val="000000"/>
                <w:sz w:val="18"/>
                <w:szCs w:val="18"/>
                <w:lang w:val="ro-MD"/>
              </w:rPr>
              <w:t>piaţă</w:t>
            </w:r>
            <w:proofErr w:type="spellEnd"/>
            <w:r w:rsidRPr="00775E84">
              <w:rPr>
                <w:color w:val="000000"/>
                <w:sz w:val="18"/>
                <w:szCs w:val="18"/>
                <w:lang w:val="ro-MD"/>
              </w:rPr>
              <w:t xml:space="preserve"> curentă a acestuia/acesteia, atunci când </w:t>
            </w:r>
            <w:proofErr w:type="spellStart"/>
            <w:r w:rsidRPr="00775E84">
              <w:rPr>
                <w:color w:val="000000"/>
                <w:sz w:val="18"/>
                <w:szCs w:val="18"/>
                <w:lang w:val="ro-MD"/>
              </w:rPr>
              <w:t>diferenţa</w:t>
            </w:r>
            <w:proofErr w:type="spellEnd"/>
            <w:r w:rsidRPr="00775E84">
              <w:rPr>
                <w:color w:val="000000"/>
                <w:sz w:val="18"/>
                <w:szCs w:val="18"/>
                <w:lang w:val="ro-MD"/>
              </w:rPr>
              <w:t xml:space="preserve"> poate implica o pierdere pentru bancă.</w:t>
            </w:r>
          </w:p>
          <w:p w14:paraId="3B438EA7" w14:textId="77777777" w:rsidR="00775E84" w:rsidRPr="00775E84" w:rsidRDefault="00775E84" w:rsidP="00775E84">
            <w:pPr>
              <w:tabs>
                <w:tab w:val="left" w:pos="175"/>
              </w:tabs>
              <w:ind w:left="-43"/>
              <w:jc w:val="both"/>
              <w:rPr>
                <w:color w:val="000000"/>
                <w:sz w:val="18"/>
                <w:szCs w:val="18"/>
                <w:lang w:val="ro-MD"/>
              </w:rPr>
            </w:pPr>
            <w:r w:rsidRPr="00775E84">
              <w:rPr>
                <w:b/>
                <w:bCs/>
                <w:color w:val="000000"/>
                <w:sz w:val="18"/>
                <w:szCs w:val="18"/>
                <w:lang w:val="ro-MD"/>
              </w:rPr>
              <w:t>7.</w:t>
            </w:r>
            <w:r w:rsidRPr="00775E84">
              <w:rPr>
                <w:color w:val="000000"/>
                <w:sz w:val="18"/>
                <w:szCs w:val="18"/>
                <w:lang w:val="ro-MD"/>
              </w:rPr>
              <w:t xml:space="preserve"> Pentru a calcula </w:t>
            </w:r>
            <w:proofErr w:type="spellStart"/>
            <w:r w:rsidRPr="00775E84">
              <w:rPr>
                <w:color w:val="000000"/>
                <w:sz w:val="18"/>
                <w:szCs w:val="18"/>
                <w:lang w:val="ro-MD"/>
              </w:rPr>
              <w:t>cerinţa</w:t>
            </w:r>
            <w:proofErr w:type="spellEnd"/>
            <w:r w:rsidRPr="00775E84">
              <w:rPr>
                <w:color w:val="000000"/>
                <w:sz w:val="18"/>
                <w:szCs w:val="18"/>
                <w:lang w:val="ro-MD"/>
              </w:rPr>
              <w:t xml:space="preserve"> de fonduri proprii a băncii pentru riscul de decontare, se </w:t>
            </w:r>
            <w:proofErr w:type="spellStart"/>
            <w:r w:rsidRPr="00775E84">
              <w:rPr>
                <w:color w:val="000000"/>
                <w:sz w:val="18"/>
                <w:szCs w:val="18"/>
                <w:lang w:val="ro-MD"/>
              </w:rPr>
              <w:t>înmulţeşte</w:t>
            </w:r>
            <w:proofErr w:type="spellEnd"/>
            <w:r w:rsidRPr="00775E84">
              <w:rPr>
                <w:color w:val="000000"/>
                <w:sz w:val="18"/>
                <w:szCs w:val="18"/>
                <w:lang w:val="ro-MD"/>
              </w:rPr>
              <w:t xml:space="preserve"> </w:t>
            </w:r>
            <w:proofErr w:type="spellStart"/>
            <w:r w:rsidRPr="00775E84">
              <w:rPr>
                <w:color w:val="000000"/>
                <w:sz w:val="18"/>
                <w:szCs w:val="18"/>
                <w:lang w:val="ro-MD"/>
              </w:rPr>
              <w:t>diferenţa</w:t>
            </w:r>
            <w:proofErr w:type="spellEnd"/>
            <w:r w:rsidRPr="00775E84">
              <w:rPr>
                <w:color w:val="000000"/>
                <w:sz w:val="18"/>
                <w:szCs w:val="18"/>
                <w:lang w:val="ro-MD"/>
              </w:rPr>
              <w:t xml:space="preserve"> de </w:t>
            </w:r>
            <w:proofErr w:type="spellStart"/>
            <w:r w:rsidRPr="00775E84">
              <w:rPr>
                <w:color w:val="000000"/>
                <w:sz w:val="18"/>
                <w:szCs w:val="18"/>
                <w:lang w:val="ro-MD"/>
              </w:rPr>
              <w:t>preţ</w:t>
            </w:r>
            <w:proofErr w:type="spellEnd"/>
            <w:r w:rsidRPr="00775E84">
              <w:rPr>
                <w:color w:val="000000"/>
                <w:sz w:val="18"/>
                <w:szCs w:val="18"/>
                <w:lang w:val="ro-MD"/>
              </w:rPr>
              <w:t xml:space="preserve"> cu factorul corespunzător din coloana B din tabelul 1.</w:t>
            </w:r>
          </w:p>
          <w:tbl>
            <w:tblPr>
              <w:tblW w:w="4000" w:type="pct"/>
              <w:jc w:val="center"/>
              <w:tblLayout w:type="fixed"/>
              <w:tblCellMar>
                <w:top w:w="15" w:type="dxa"/>
                <w:left w:w="15" w:type="dxa"/>
                <w:bottom w:w="15" w:type="dxa"/>
                <w:right w:w="15" w:type="dxa"/>
              </w:tblCellMar>
              <w:tblLook w:val="04A0" w:firstRow="1" w:lastRow="0" w:firstColumn="1" w:lastColumn="0" w:noHBand="0" w:noVBand="1"/>
            </w:tblPr>
            <w:tblGrid>
              <w:gridCol w:w="2369"/>
              <w:gridCol w:w="406"/>
            </w:tblGrid>
            <w:tr w:rsidR="00775E84" w:rsidRPr="00775E84" w14:paraId="6CB0F005" w14:textId="77777777" w:rsidTr="00DC3FC7">
              <w:trPr>
                <w:jc w:val="center"/>
              </w:trPr>
              <w:tc>
                <w:tcPr>
                  <w:tcW w:w="7484" w:type="dxa"/>
                  <w:gridSpan w:val="2"/>
                  <w:tcBorders>
                    <w:top w:val="nil"/>
                    <w:left w:val="nil"/>
                    <w:bottom w:val="single" w:sz="6" w:space="0" w:color="000000"/>
                    <w:right w:val="nil"/>
                  </w:tcBorders>
                  <w:tcMar>
                    <w:top w:w="24" w:type="dxa"/>
                    <w:left w:w="48" w:type="dxa"/>
                    <w:bottom w:w="24" w:type="dxa"/>
                    <w:right w:w="48" w:type="dxa"/>
                  </w:tcMar>
                  <w:hideMark/>
                </w:tcPr>
                <w:p w14:paraId="585FB5F4" w14:textId="77777777" w:rsidR="00775E84" w:rsidRPr="00775E84" w:rsidRDefault="00775E84" w:rsidP="00775E84">
                  <w:pPr>
                    <w:tabs>
                      <w:tab w:val="left" w:pos="175"/>
                    </w:tabs>
                    <w:ind w:left="-43"/>
                    <w:jc w:val="both"/>
                    <w:rPr>
                      <w:color w:val="000000"/>
                      <w:sz w:val="18"/>
                      <w:szCs w:val="18"/>
                      <w:lang w:val="ro-MD"/>
                    </w:rPr>
                  </w:pPr>
                  <w:r w:rsidRPr="00775E84">
                    <w:rPr>
                      <w:b/>
                      <w:bCs/>
                      <w:color w:val="000000"/>
                      <w:sz w:val="18"/>
                      <w:szCs w:val="18"/>
                      <w:lang w:val="ro-MD"/>
                    </w:rPr>
                    <w:t>Tabelul 1</w:t>
                  </w:r>
                </w:p>
                <w:p w14:paraId="6AD446E7" w14:textId="77777777" w:rsidR="00775E84" w:rsidRPr="00775E84" w:rsidRDefault="00775E84" w:rsidP="00775E84">
                  <w:pPr>
                    <w:tabs>
                      <w:tab w:val="left" w:pos="175"/>
                    </w:tabs>
                    <w:ind w:left="-43"/>
                    <w:jc w:val="both"/>
                    <w:rPr>
                      <w:color w:val="000000"/>
                      <w:sz w:val="18"/>
                      <w:szCs w:val="18"/>
                      <w:lang w:val="ro-MD"/>
                    </w:rPr>
                  </w:pPr>
                  <w:r w:rsidRPr="00775E84">
                    <w:rPr>
                      <w:color w:val="000000"/>
                      <w:sz w:val="18"/>
                      <w:szCs w:val="18"/>
                      <w:lang w:val="ro-MD"/>
                    </w:rPr>
                    <w:t> </w:t>
                  </w:r>
                </w:p>
              </w:tc>
            </w:tr>
            <w:tr w:rsidR="00775E84" w:rsidRPr="006D6A9C" w14:paraId="63E11409" w14:textId="77777777" w:rsidTr="00DC3FC7">
              <w:trPr>
                <w:jc w:val="center"/>
              </w:trPr>
              <w:tc>
                <w:tcPr>
                  <w:tcW w:w="654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F4E36E" w14:textId="77777777" w:rsidR="00775E84" w:rsidRPr="00775E84" w:rsidRDefault="00775E84" w:rsidP="00775E84">
                  <w:pPr>
                    <w:tabs>
                      <w:tab w:val="left" w:pos="175"/>
                    </w:tabs>
                    <w:ind w:left="-43"/>
                    <w:jc w:val="both"/>
                    <w:rPr>
                      <w:b/>
                      <w:bCs/>
                      <w:color w:val="000000"/>
                      <w:sz w:val="18"/>
                      <w:szCs w:val="18"/>
                      <w:lang w:val="ro-MD"/>
                    </w:rPr>
                  </w:pPr>
                  <w:r w:rsidRPr="00775E84">
                    <w:rPr>
                      <w:b/>
                      <w:bCs/>
                      <w:color w:val="000000"/>
                      <w:sz w:val="18"/>
                      <w:szCs w:val="18"/>
                      <w:lang w:val="ro-MD"/>
                    </w:rPr>
                    <w:t>Numărul de zile lucrătoare după</w:t>
                  </w:r>
                  <w:r w:rsidRPr="00775E84">
                    <w:rPr>
                      <w:b/>
                      <w:bCs/>
                      <w:color w:val="000000"/>
                      <w:sz w:val="18"/>
                      <w:szCs w:val="18"/>
                      <w:lang w:val="ro-MD"/>
                    </w:rPr>
                    <w:br/>
                    <w:t>data scadentă pentru decontare</w:t>
                  </w:r>
                </w:p>
              </w:tc>
              <w:tc>
                <w:tcPr>
                  <w:tcW w:w="94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C5D749" w14:textId="77777777" w:rsidR="00775E84" w:rsidRPr="00775E84" w:rsidRDefault="00775E84" w:rsidP="00775E84">
                  <w:pPr>
                    <w:tabs>
                      <w:tab w:val="left" w:pos="175"/>
                    </w:tabs>
                    <w:ind w:left="-43"/>
                    <w:jc w:val="both"/>
                    <w:rPr>
                      <w:b/>
                      <w:bCs/>
                      <w:color w:val="000000"/>
                      <w:sz w:val="18"/>
                      <w:szCs w:val="18"/>
                      <w:lang w:val="ro-MD"/>
                    </w:rPr>
                  </w:pPr>
                  <w:r w:rsidRPr="00775E84">
                    <w:rPr>
                      <w:b/>
                      <w:bCs/>
                      <w:color w:val="000000"/>
                      <w:sz w:val="18"/>
                      <w:szCs w:val="18"/>
                      <w:lang w:val="ro-MD"/>
                    </w:rPr>
                    <w:t>(%)</w:t>
                  </w:r>
                </w:p>
              </w:tc>
            </w:tr>
            <w:tr w:rsidR="00775E84" w:rsidRPr="006D6A9C" w14:paraId="3AD99881" w14:textId="77777777" w:rsidTr="00DC3FC7">
              <w:trPr>
                <w:jc w:val="center"/>
              </w:trPr>
              <w:tc>
                <w:tcPr>
                  <w:tcW w:w="654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CA9BAC" w14:textId="77777777" w:rsidR="00775E84" w:rsidRPr="00775E84" w:rsidRDefault="00775E84" w:rsidP="00775E84">
                  <w:pPr>
                    <w:tabs>
                      <w:tab w:val="left" w:pos="175"/>
                    </w:tabs>
                    <w:ind w:left="-43"/>
                    <w:jc w:val="both"/>
                    <w:rPr>
                      <w:b/>
                      <w:bCs/>
                      <w:color w:val="000000"/>
                      <w:sz w:val="18"/>
                      <w:szCs w:val="18"/>
                      <w:lang w:val="ro-MD"/>
                    </w:rPr>
                  </w:pPr>
                  <w:r w:rsidRPr="00775E84">
                    <w:rPr>
                      <w:b/>
                      <w:bCs/>
                      <w:color w:val="000000"/>
                      <w:sz w:val="18"/>
                      <w:szCs w:val="18"/>
                      <w:lang w:val="ro-MD"/>
                    </w:rPr>
                    <w:t>A</w:t>
                  </w:r>
                </w:p>
              </w:tc>
              <w:tc>
                <w:tcPr>
                  <w:tcW w:w="94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C2FFBC" w14:textId="77777777" w:rsidR="00775E84" w:rsidRPr="00775E84" w:rsidRDefault="00775E84" w:rsidP="00775E84">
                  <w:pPr>
                    <w:tabs>
                      <w:tab w:val="left" w:pos="175"/>
                    </w:tabs>
                    <w:ind w:left="-43"/>
                    <w:jc w:val="both"/>
                    <w:rPr>
                      <w:b/>
                      <w:bCs/>
                      <w:color w:val="000000"/>
                      <w:sz w:val="18"/>
                      <w:szCs w:val="18"/>
                      <w:lang w:val="ro-MD"/>
                    </w:rPr>
                  </w:pPr>
                  <w:r w:rsidRPr="00775E84">
                    <w:rPr>
                      <w:b/>
                      <w:bCs/>
                      <w:color w:val="000000"/>
                      <w:sz w:val="18"/>
                      <w:szCs w:val="18"/>
                      <w:lang w:val="ro-MD"/>
                    </w:rPr>
                    <w:t>B</w:t>
                  </w:r>
                </w:p>
              </w:tc>
            </w:tr>
            <w:tr w:rsidR="00775E84" w:rsidRPr="006D6A9C" w14:paraId="383C5445" w14:textId="77777777" w:rsidTr="00DC3FC7">
              <w:trPr>
                <w:jc w:val="center"/>
              </w:trPr>
              <w:tc>
                <w:tcPr>
                  <w:tcW w:w="65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C5219" w14:textId="77777777" w:rsidR="00775E84" w:rsidRPr="00775E84" w:rsidRDefault="00775E84" w:rsidP="00775E84">
                  <w:pPr>
                    <w:tabs>
                      <w:tab w:val="left" w:pos="175"/>
                    </w:tabs>
                    <w:ind w:left="-43"/>
                    <w:jc w:val="both"/>
                    <w:rPr>
                      <w:color w:val="000000"/>
                      <w:sz w:val="18"/>
                      <w:szCs w:val="18"/>
                      <w:lang w:val="ro-MD"/>
                    </w:rPr>
                  </w:pPr>
                  <w:r w:rsidRPr="00775E84">
                    <w:rPr>
                      <w:color w:val="000000"/>
                      <w:sz w:val="18"/>
                      <w:szCs w:val="18"/>
                      <w:lang w:val="ro-MD"/>
                    </w:rPr>
                    <w:t>5 – 15</w:t>
                  </w:r>
                </w:p>
              </w:tc>
              <w:tc>
                <w:tcPr>
                  <w:tcW w:w="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65CA0" w14:textId="77777777" w:rsidR="00775E84" w:rsidRPr="00775E84" w:rsidRDefault="00775E84" w:rsidP="00775E84">
                  <w:pPr>
                    <w:tabs>
                      <w:tab w:val="left" w:pos="175"/>
                    </w:tabs>
                    <w:ind w:left="-43"/>
                    <w:jc w:val="both"/>
                    <w:rPr>
                      <w:color w:val="000000"/>
                      <w:sz w:val="18"/>
                      <w:szCs w:val="18"/>
                      <w:lang w:val="ro-MD"/>
                    </w:rPr>
                  </w:pPr>
                  <w:r w:rsidRPr="00775E84">
                    <w:rPr>
                      <w:color w:val="000000"/>
                      <w:sz w:val="18"/>
                      <w:szCs w:val="18"/>
                      <w:lang w:val="ro-MD"/>
                    </w:rPr>
                    <w:t>8</w:t>
                  </w:r>
                </w:p>
              </w:tc>
            </w:tr>
            <w:tr w:rsidR="00775E84" w:rsidRPr="006D6A9C" w14:paraId="283E2E4F" w14:textId="77777777" w:rsidTr="00DC3FC7">
              <w:trPr>
                <w:jc w:val="center"/>
              </w:trPr>
              <w:tc>
                <w:tcPr>
                  <w:tcW w:w="65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9B580" w14:textId="77777777" w:rsidR="00775E84" w:rsidRPr="00775E84" w:rsidRDefault="00775E84" w:rsidP="00775E84">
                  <w:pPr>
                    <w:tabs>
                      <w:tab w:val="left" w:pos="175"/>
                    </w:tabs>
                    <w:ind w:left="-43"/>
                    <w:jc w:val="both"/>
                    <w:rPr>
                      <w:color w:val="000000"/>
                      <w:sz w:val="18"/>
                      <w:szCs w:val="18"/>
                      <w:lang w:val="ro-MD"/>
                    </w:rPr>
                  </w:pPr>
                  <w:r w:rsidRPr="00775E84">
                    <w:rPr>
                      <w:color w:val="000000"/>
                      <w:sz w:val="18"/>
                      <w:szCs w:val="18"/>
                      <w:lang w:val="ro-MD"/>
                    </w:rPr>
                    <w:t>16 – 30</w:t>
                  </w:r>
                </w:p>
              </w:tc>
              <w:tc>
                <w:tcPr>
                  <w:tcW w:w="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4F8EB" w14:textId="77777777" w:rsidR="00775E84" w:rsidRPr="00775E84" w:rsidRDefault="00775E84" w:rsidP="00775E84">
                  <w:pPr>
                    <w:tabs>
                      <w:tab w:val="left" w:pos="175"/>
                    </w:tabs>
                    <w:ind w:left="-43"/>
                    <w:jc w:val="both"/>
                    <w:rPr>
                      <w:color w:val="000000"/>
                      <w:sz w:val="18"/>
                      <w:szCs w:val="18"/>
                      <w:lang w:val="ro-MD"/>
                    </w:rPr>
                  </w:pPr>
                  <w:r w:rsidRPr="00775E84">
                    <w:rPr>
                      <w:color w:val="000000"/>
                      <w:sz w:val="18"/>
                      <w:szCs w:val="18"/>
                      <w:lang w:val="ro-MD"/>
                    </w:rPr>
                    <w:t>50</w:t>
                  </w:r>
                </w:p>
              </w:tc>
            </w:tr>
            <w:tr w:rsidR="00775E84" w:rsidRPr="006D6A9C" w14:paraId="0F5D8785" w14:textId="77777777" w:rsidTr="00DC3FC7">
              <w:trPr>
                <w:jc w:val="center"/>
              </w:trPr>
              <w:tc>
                <w:tcPr>
                  <w:tcW w:w="65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3457E" w14:textId="77777777" w:rsidR="00775E84" w:rsidRPr="00775E84" w:rsidRDefault="00775E84" w:rsidP="00775E84">
                  <w:pPr>
                    <w:tabs>
                      <w:tab w:val="left" w:pos="175"/>
                    </w:tabs>
                    <w:ind w:left="-43"/>
                    <w:jc w:val="both"/>
                    <w:rPr>
                      <w:color w:val="000000"/>
                      <w:sz w:val="18"/>
                      <w:szCs w:val="18"/>
                      <w:lang w:val="ro-MD"/>
                    </w:rPr>
                  </w:pPr>
                  <w:r w:rsidRPr="00775E84">
                    <w:rPr>
                      <w:color w:val="000000"/>
                      <w:sz w:val="18"/>
                      <w:szCs w:val="18"/>
                      <w:lang w:val="ro-MD"/>
                    </w:rPr>
                    <w:t>31 – 45</w:t>
                  </w:r>
                </w:p>
              </w:tc>
              <w:tc>
                <w:tcPr>
                  <w:tcW w:w="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DE6D6" w14:textId="77777777" w:rsidR="00775E84" w:rsidRPr="00775E84" w:rsidRDefault="00775E84" w:rsidP="00775E84">
                  <w:pPr>
                    <w:tabs>
                      <w:tab w:val="left" w:pos="175"/>
                    </w:tabs>
                    <w:ind w:left="-43"/>
                    <w:jc w:val="both"/>
                    <w:rPr>
                      <w:color w:val="000000"/>
                      <w:sz w:val="18"/>
                      <w:szCs w:val="18"/>
                      <w:lang w:val="ro-MD"/>
                    </w:rPr>
                  </w:pPr>
                  <w:r w:rsidRPr="00775E84">
                    <w:rPr>
                      <w:color w:val="000000"/>
                      <w:sz w:val="18"/>
                      <w:szCs w:val="18"/>
                      <w:lang w:val="ro-MD"/>
                    </w:rPr>
                    <w:t>75</w:t>
                  </w:r>
                </w:p>
              </w:tc>
            </w:tr>
            <w:tr w:rsidR="00775E84" w:rsidRPr="006D6A9C" w14:paraId="2F84B31E" w14:textId="77777777" w:rsidTr="00DC3FC7">
              <w:trPr>
                <w:jc w:val="center"/>
              </w:trPr>
              <w:tc>
                <w:tcPr>
                  <w:tcW w:w="65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4C2D3" w14:textId="77777777" w:rsidR="00775E84" w:rsidRPr="00775E84" w:rsidRDefault="00775E84" w:rsidP="00775E84">
                  <w:pPr>
                    <w:tabs>
                      <w:tab w:val="left" w:pos="175"/>
                    </w:tabs>
                    <w:ind w:left="-43"/>
                    <w:jc w:val="both"/>
                    <w:rPr>
                      <w:color w:val="000000"/>
                      <w:sz w:val="18"/>
                      <w:szCs w:val="18"/>
                      <w:lang w:val="ro-MD"/>
                    </w:rPr>
                  </w:pPr>
                  <w:r w:rsidRPr="00775E84">
                    <w:rPr>
                      <w:color w:val="000000"/>
                      <w:sz w:val="18"/>
                      <w:szCs w:val="18"/>
                      <w:lang w:val="ro-MD"/>
                    </w:rPr>
                    <w:t>46 sau mai multe</w:t>
                  </w:r>
                </w:p>
              </w:tc>
              <w:tc>
                <w:tcPr>
                  <w:tcW w:w="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2D366" w14:textId="77777777" w:rsidR="00775E84" w:rsidRPr="00775E84" w:rsidRDefault="00775E84" w:rsidP="00775E84">
                  <w:pPr>
                    <w:tabs>
                      <w:tab w:val="left" w:pos="175"/>
                    </w:tabs>
                    <w:ind w:left="-43"/>
                    <w:jc w:val="both"/>
                    <w:rPr>
                      <w:color w:val="000000"/>
                      <w:sz w:val="18"/>
                      <w:szCs w:val="18"/>
                      <w:lang w:val="ro-MD"/>
                    </w:rPr>
                  </w:pPr>
                  <w:r w:rsidRPr="00775E84">
                    <w:rPr>
                      <w:color w:val="000000"/>
                      <w:sz w:val="18"/>
                      <w:szCs w:val="18"/>
                      <w:lang w:val="ro-MD"/>
                    </w:rPr>
                    <w:t>100</w:t>
                  </w:r>
                </w:p>
              </w:tc>
            </w:tr>
          </w:tbl>
          <w:p w14:paraId="10D84F2E" w14:textId="77777777" w:rsidR="00775E84" w:rsidRPr="00775E84" w:rsidRDefault="00775E84" w:rsidP="00775E84">
            <w:pPr>
              <w:tabs>
                <w:tab w:val="left" w:pos="175"/>
              </w:tabs>
              <w:ind w:left="-43"/>
              <w:jc w:val="both"/>
              <w:rPr>
                <w:b/>
                <w:bCs/>
                <w:color w:val="000000"/>
                <w:sz w:val="18"/>
                <w:szCs w:val="18"/>
                <w:lang w:val="ro-MD"/>
              </w:rPr>
            </w:pPr>
            <w:r w:rsidRPr="00775E84">
              <w:rPr>
                <w:b/>
                <w:bCs/>
                <w:color w:val="000000"/>
                <w:sz w:val="18"/>
                <w:szCs w:val="18"/>
                <w:lang w:val="ro-MD"/>
              </w:rPr>
              <w:t> </w:t>
            </w:r>
          </w:p>
          <w:p w14:paraId="6A6483C2" w14:textId="6E4D9980" w:rsidR="00632557" w:rsidRPr="003F5B3C" w:rsidRDefault="000B7668" w:rsidP="00B62E56">
            <w:pPr>
              <w:tabs>
                <w:tab w:val="left" w:pos="175"/>
              </w:tabs>
              <w:ind w:left="-43"/>
              <w:jc w:val="both"/>
              <w:rPr>
                <w:color w:val="000000"/>
                <w:sz w:val="18"/>
                <w:szCs w:val="18"/>
                <w:lang w:val="ro-MD"/>
              </w:rPr>
            </w:pPr>
            <w:r w:rsidRPr="000B7668">
              <w:rPr>
                <w:b/>
                <w:bCs/>
                <w:i/>
                <w:iCs/>
                <w:color w:val="000000"/>
                <w:sz w:val="18"/>
                <w:szCs w:val="18"/>
                <w:lang w:val="ro-RO"/>
              </w:rPr>
              <w:t>Preveder</w:t>
            </w:r>
            <w:r>
              <w:rPr>
                <w:b/>
                <w:bCs/>
                <w:i/>
                <w:iCs/>
                <w:color w:val="000000"/>
                <w:sz w:val="18"/>
                <w:szCs w:val="18"/>
                <w:lang w:val="ro-RO"/>
              </w:rPr>
              <w:t>i</w:t>
            </w:r>
            <w:r w:rsidRPr="000B7668">
              <w:rPr>
                <w:b/>
                <w:bCs/>
                <w:i/>
                <w:iCs/>
                <w:color w:val="000000"/>
                <w:sz w:val="18"/>
                <w:szCs w:val="18"/>
                <w:lang w:val="ro-RO"/>
              </w:rPr>
              <w:t xml:space="preserve"> existent</w:t>
            </w:r>
            <w:r>
              <w:rPr>
                <w:b/>
                <w:bCs/>
                <w:i/>
                <w:iCs/>
                <w:color w:val="000000"/>
                <w:sz w:val="18"/>
                <w:szCs w:val="18"/>
                <w:lang w:val="ro-RO"/>
              </w:rPr>
              <w:t>e</w:t>
            </w:r>
            <w:r w:rsidRPr="000B7668">
              <w:rPr>
                <w:b/>
                <w:bCs/>
                <w:i/>
                <w:iCs/>
                <w:color w:val="000000"/>
                <w:sz w:val="18"/>
                <w:szCs w:val="18"/>
                <w:lang w:val="ro-RO"/>
              </w:rPr>
              <w:t xml:space="preserve"> - </w:t>
            </w:r>
            <w:r w:rsidRPr="000B7668">
              <w:rPr>
                <w:i/>
                <w:iCs/>
                <w:color w:val="000000"/>
                <w:sz w:val="18"/>
                <w:szCs w:val="18"/>
                <w:lang w:val="ro-RO"/>
              </w:rPr>
              <w:t>Regulamentul nr.115/2018</w:t>
            </w:r>
          </w:p>
        </w:tc>
        <w:tc>
          <w:tcPr>
            <w:tcW w:w="1229" w:type="dxa"/>
          </w:tcPr>
          <w:p w14:paraId="2D1F9FF1" w14:textId="51D37923" w:rsidR="00632557" w:rsidRPr="003F5B3C" w:rsidRDefault="00E302C2" w:rsidP="00B93C1C">
            <w:pPr>
              <w:jc w:val="both"/>
              <w:rPr>
                <w:color w:val="000000"/>
                <w:sz w:val="18"/>
                <w:szCs w:val="18"/>
                <w:lang w:val="ro-MD"/>
              </w:rPr>
            </w:pPr>
            <w:r>
              <w:rPr>
                <w:color w:val="000000"/>
                <w:sz w:val="18"/>
                <w:szCs w:val="18"/>
                <w:lang w:val="ro-MD"/>
              </w:rPr>
              <w:t>Compatibil.</w:t>
            </w:r>
          </w:p>
        </w:tc>
        <w:tc>
          <w:tcPr>
            <w:tcW w:w="5292" w:type="dxa"/>
            <w:tcBorders>
              <w:top w:val="single" w:sz="4" w:space="0" w:color="auto"/>
              <w:bottom w:val="single" w:sz="4" w:space="0" w:color="auto"/>
            </w:tcBorders>
          </w:tcPr>
          <w:p w14:paraId="31479AB2" w14:textId="77777777" w:rsidR="00632557" w:rsidRPr="003F5B3C" w:rsidRDefault="00632557" w:rsidP="00B93C1C">
            <w:pPr>
              <w:jc w:val="both"/>
              <w:rPr>
                <w:color w:val="000000"/>
                <w:sz w:val="18"/>
                <w:szCs w:val="18"/>
                <w:lang w:val="ro-MD"/>
              </w:rPr>
            </w:pPr>
          </w:p>
        </w:tc>
      </w:tr>
      <w:tr w:rsidR="00632557" w:rsidRPr="006D6A9C" w14:paraId="228C034C" w14:textId="77777777" w:rsidTr="003F5B3C">
        <w:trPr>
          <w:trHeight w:val="427"/>
        </w:trPr>
        <w:tc>
          <w:tcPr>
            <w:tcW w:w="4253" w:type="dxa"/>
          </w:tcPr>
          <w:p w14:paraId="73C8E1F0" w14:textId="77777777" w:rsidR="00067C06" w:rsidRDefault="00067C06" w:rsidP="00067C06">
            <w:pPr>
              <w:rPr>
                <w:sz w:val="18"/>
                <w:szCs w:val="18"/>
                <w:lang w:val="en-US"/>
              </w:rPr>
            </w:pPr>
          </w:p>
          <w:p w14:paraId="7C90BB21" w14:textId="77777777" w:rsidR="00067C06" w:rsidRDefault="00067C06" w:rsidP="00067C06">
            <w:pPr>
              <w:rPr>
                <w:sz w:val="18"/>
                <w:szCs w:val="18"/>
                <w:lang w:val="en-US"/>
              </w:rPr>
            </w:pPr>
            <w:proofErr w:type="spellStart"/>
            <w:r w:rsidRPr="00E6689E">
              <w:rPr>
                <w:i/>
                <w:iCs/>
                <w:sz w:val="18"/>
                <w:szCs w:val="18"/>
                <w:lang w:val="en-US"/>
              </w:rPr>
              <w:t>Articolul</w:t>
            </w:r>
            <w:proofErr w:type="spellEnd"/>
            <w:r w:rsidRPr="00E6689E">
              <w:rPr>
                <w:i/>
                <w:iCs/>
                <w:sz w:val="18"/>
                <w:szCs w:val="18"/>
                <w:lang w:val="en-US"/>
              </w:rPr>
              <w:t xml:space="preserve"> 379</w:t>
            </w:r>
            <w:r w:rsidRPr="00DB5AA7">
              <w:rPr>
                <w:sz w:val="18"/>
                <w:szCs w:val="18"/>
                <w:lang w:val="en-US"/>
              </w:rPr>
              <w:t xml:space="preserve"> </w:t>
            </w:r>
            <w:proofErr w:type="spellStart"/>
            <w:r w:rsidRPr="00E6689E">
              <w:rPr>
                <w:b/>
                <w:bCs/>
                <w:sz w:val="18"/>
                <w:szCs w:val="18"/>
                <w:lang w:val="en-US"/>
              </w:rPr>
              <w:t>Tranzacţii</w:t>
            </w:r>
            <w:proofErr w:type="spellEnd"/>
            <w:r w:rsidRPr="00E6689E">
              <w:rPr>
                <w:b/>
                <w:bCs/>
                <w:sz w:val="18"/>
                <w:szCs w:val="18"/>
                <w:lang w:val="en-US"/>
              </w:rPr>
              <w:t xml:space="preserve"> incomplete</w:t>
            </w:r>
            <w:r w:rsidRPr="00DB5AA7">
              <w:rPr>
                <w:sz w:val="18"/>
                <w:szCs w:val="18"/>
                <w:lang w:val="en-US"/>
              </w:rPr>
              <w:t xml:space="preserve"> </w:t>
            </w:r>
          </w:p>
          <w:p w14:paraId="5767E66F" w14:textId="77777777" w:rsidR="00067C06" w:rsidRDefault="00067C06" w:rsidP="00067C06">
            <w:pPr>
              <w:rPr>
                <w:sz w:val="18"/>
                <w:szCs w:val="18"/>
                <w:lang w:val="en-US"/>
              </w:rPr>
            </w:pPr>
            <w:r w:rsidRPr="00DB5AA7">
              <w:rPr>
                <w:sz w:val="18"/>
                <w:szCs w:val="18"/>
                <w:lang w:val="en-US"/>
              </w:rPr>
              <w:lastRenderedPageBreak/>
              <w:t xml:space="preserve">(1) O </w:t>
            </w:r>
            <w:proofErr w:type="spellStart"/>
            <w:r w:rsidRPr="00DB5AA7">
              <w:rPr>
                <w:sz w:val="18"/>
                <w:szCs w:val="18"/>
                <w:lang w:val="en-US"/>
              </w:rPr>
              <w:t>instituţie</w:t>
            </w:r>
            <w:proofErr w:type="spellEnd"/>
            <w:r w:rsidRPr="00DB5AA7">
              <w:rPr>
                <w:sz w:val="18"/>
                <w:szCs w:val="18"/>
                <w:lang w:val="en-US"/>
              </w:rPr>
              <w:t xml:space="preserve"> </w:t>
            </w:r>
            <w:proofErr w:type="spellStart"/>
            <w:r w:rsidRPr="00DB5AA7">
              <w:rPr>
                <w:sz w:val="18"/>
                <w:szCs w:val="18"/>
                <w:lang w:val="en-US"/>
              </w:rPr>
              <w:t>trebuie</w:t>
            </w:r>
            <w:proofErr w:type="spellEnd"/>
            <w:r w:rsidRPr="00DB5AA7">
              <w:rPr>
                <w:sz w:val="18"/>
                <w:szCs w:val="18"/>
                <w:lang w:val="en-US"/>
              </w:rPr>
              <w:t xml:space="preserve"> </w:t>
            </w:r>
            <w:proofErr w:type="spellStart"/>
            <w:r w:rsidRPr="00DB5AA7">
              <w:rPr>
                <w:sz w:val="18"/>
                <w:szCs w:val="18"/>
                <w:lang w:val="en-US"/>
              </w:rPr>
              <w:t>să</w:t>
            </w:r>
            <w:proofErr w:type="spellEnd"/>
            <w:r w:rsidRPr="00DB5AA7">
              <w:rPr>
                <w:sz w:val="18"/>
                <w:szCs w:val="18"/>
                <w:lang w:val="en-US"/>
              </w:rPr>
              <w:t xml:space="preserve"> </w:t>
            </w:r>
            <w:proofErr w:type="spellStart"/>
            <w:r w:rsidRPr="00DB5AA7">
              <w:rPr>
                <w:sz w:val="18"/>
                <w:szCs w:val="18"/>
                <w:lang w:val="en-US"/>
              </w:rPr>
              <w:t>deţină</w:t>
            </w:r>
            <w:proofErr w:type="spellEnd"/>
            <w:r w:rsidRPr="00DB5AA7">
              <w:rPr>
                <w:sz w:val="18"/>
                <w:szCs w:val="18"/>
                <w:lang w:val="en-US"/>
              </w:rPr>
              <w:t xml:space="preserve"> </w:t>
            </w:r>
            <w:proofErr w:type="spellStart"/>
            <w:r w:rsidRPr="00DB5AA7">
              <w:rPr>
                <w:sz w:val="18"/>
                <w:szCs w:val="18"/>
                <w:lang w:val="en-US"/>
              </w:rPr>
              <w:t>fonduri</w:t>
            </w:r>
            <w:proofErr w:type="spellEnd"/>
            <w:r w:rsidRPr="00DB5AA7">
              <w:rPr>
                <w:sz w:val="18"/>
                <w:szCs w:val="18"/>
                <w:lang w:val="en-US"/>
              </w:rPr>
              <w:t xml:space="preserve"> </w:t>
            </w:r>
            <w:proofErr w:type="spellStart"/>
            <w:r w:rsidRPr="00DB5AA7">
              <w:rPr>
                <w:sz w:val="18"/>
                <w:szCs w:val="18"/>
                <w:lang w:val="en-US"/>
              </w:rPr>
              <w:t>proprii</w:t>
            </w:r>
            <w:proofErr w:type="spellEnd"/>
            <w:r w:rsidRPr="00DB5AA7">
              <w:rPr>
                <w:sz w:val="18"/>
                <w:szCs w:val="18"/>
                <w:lang w:val="en-US"/>
              </w:rPr>
              <w:t xml:space="preserve">, </w:t>
            </w:r>
            <w:proofErr w:type="spellStart"/>
            <w:r w:rsidRPr="00DB5AA7">
              <w:rPr>
                <w:sz w:val="18"/>
                <w:szCs w:val="18"/>
                <w:lang w:val="en-US"/>
              </w:rPr>
              <w:t>după</w:t>
            </w:r>
            <w:proofErr w:type="spellEnd"/>
            <w:r w:rsidRPr="00DB5AA7">
              <w:rPr>
                <w:sz w:val="18"/>
                <w:szCs w:val="18"/>
                <w:lang w:val="en-US"/>
              </w:rPr>
              <w:t xml:space="preserve"> cum </w:t>
            </w:r>
            <w:proofErr w:type="spellStart"/>
            <w:r w:rsidRPr="00DB5AA7">
              <w:rPr>
                <w:sz w:val="18"/>
                <w:szCs w:val="18"/>
                <w:lang w:val="en-US"/>
              </w:rPr>
              <w:t>este</w:t>
            </w:r>
            <w:proofErr w:type="spellEnd"/>
            <w:r w:rsidRPr="00DB5AA7">
              <w:rPr>
                <w:sz w:val="18"/>
                <w:szCs w:val="18"/>
                <w:lang w:val="en-US"/>
              </w:rPr>
              <w:t xml:space="preserve"> </w:t>
            </w:r>
            <w:proofErr w:type="spellStart"/>
            <w:r w:rsidRPr="00DB5AA7">
              <w:rPr>
                <w:sz w:val="18"/>
                <w:szCs w:val="18"/>
                <w:lang w:val="en-US"/>
              </w:rPr>
              <w:t>prevăzut</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tabelul</w:t>
            </w:r>
            <w:proofErr w:type="spellEnd"/>
            <w:r w:rsidRPr="00DB5AA7">
              <w:rPr>
                <w:sz w:val="18"/>
                <w:szCs w:val="18"/>
                <w:lang w:val="en-US"/>
              </w:rPr>
              <w:t xml:space="preserve"> 2, </w:t>
            </w:r>
            <w:proofErr w:type="spellStart"/>
            <w:r w:rsidRPr="00DB5AA7">
              <w:rPr>
                <w:sz w:val="18"/>
                <w:szCs w:val="18"/>
                <w:lang w:val="en-US"/>
              </w:rPr>
              <w:t>dacă</w:t>
            </w:r>
            <w:proofErr w:type="spellEnd"/>
            <w:r w:rsidRPr="00DB5AA7">
              <w:rPr>
                <w:sz w:val="18"/>
                <w:szCs w:val="18"/>
                <w:lang w:val="en-US"/>
              </w:rPr>
              <w:t xml:space="preserve">: </w:t>
            </w:r>
          </w:p>
          <w:p w14:paraId="48001D7F" w14:textId="77777777" w:rsidR="00067C06" w:rsidRDefault="00067C06" w:rsidP="00067C06">
            <w:pPr>
              <w:rPr>
                <w:sz w:val="18"/>
                <w:szCs w:val="18"/>
                <w:lang w:val="en-US"/>
              </w:rPr>
            </w:pPr>
            <w:r w:rsidRPr="00DB5AA7">
              <w:rPr>
                <w:sz w:val="18"/>
                <w:szCs w:val="18"/>
                <w:lang w:val="en-US"/>
              </w:rPr>
              <w:t xml:space="preserve">(a) </w:t>
            </w:r>
            <w:proofErr w:type="spellStart"/>
            <w:r w:rsidRPr="00DB5AA7">
              <w:rPr>
                <w:sz w:val="18"/>
                <w:szCs w:val="18"/>
                <w:lang w:val="en-US"/>
              </w:rPr>
              <w:t>aceasta</w:t>
            </w:r>
            <w:proofErr w:type="spellEnd"/>
            <w:r w:rsidRPr="00DB5AA7">
              <w:rPr>
                <w:sz w:val="18"/>
                <w:szCs w:val="18"/>
                <w:lang w:val="en-US"/>
              </w:rPr>
              <w:t xml:space="preserve"> a </w:t>
            </w:r>
            <w:proofErr w:type="spellStart"/>
            <w:r w:rsidRPr="00DB5AA7">
              <w:rPr>
                <w:sz w:val="18"/>
                <w:szCs w:val="18"/>
                <w:lang w:val="en-US"/>
              </w:rPr>
              <w:t>plătit</w:t>
            </w:r>
            <w:proofErr w:type="spellEnd"/>
            <w:r w:rsidRPr="00DB5AA7">
              <w:rPr>
                <w:sz w:val="18"/>
                <w:szCs w:val="18"/>
                <w:lang w:val="en-US"/>
              </w:rPr>
              <w:t xml:space="preserve"> </w:t>
            </w:r>
            <w:proofErr w:type="spellStart"/>
            <w:r w:rsidRPr="00DB5AA7">
              <w:rPr>
                <w:sz w:val="18"/>
                <w:szCs w:val="18"/>
                <w:lang w:val="en-US"/>
              </w:rPr>
              <w:t>pentru</w:t>
            </w:r>
            <w:proofErr w:type="spellEnd"/>
            <w:r w:rsidRPr="00DB5AA7">
              <w:rPr>
                <w:sz w:val="18"/>
                <w:szCs w:val="18"/>
                <w:lang w:val="en-US"/>
              </w:rPr>
              <w:t xml:space="preserve"> </w:t>
            </w:r>
            <w:proofErr w:type="spellStart"/>
            <w:r w:rsidRPr="00DB5AA7">
              <w:rPr>
                <w:sz w:val="18"/>
                <w:szCs w:val="18"/>
                <w:lang w:val="en-US"/>
              </w:rPr>
              <w:t>titluri</w:t>
            </w:r>
            <w:proofErr w:type="spellEnd"/>
            <w:r w:rsidRPr="00DB5AA7">
              <w:rPr>
                <w:sz w:val="18"/>
                <w:szCs w:val="18"/>
                <w:lang w:val="en-US"/>
              </w:rPr>
              <w:t xml:space="preserve">, </w:t>
            </w:r>
            <w:proofErr w:type="spellStart"/>
            <w:r w:rsidRPr="00DB5AA7">
              <w:rPr>
                <w:sz w:val="18"/>
                <w:szCs w:val="18"/>
                <w:lang w:val="en-US"/>
              </w:rPr>
              <w:t>valute</w:t>
            </w:r>
            <w:proofErr w:type="spellEnd"/>
            <w:r w:rsidRPr="00DB5AA7">
              <w:rPr>
                <w:sz w:val="18"/>
                <w:szCs w:val="18"/>
                <w:lang w:val="en-US"/>
              </w:rPr>
              <w:t xml:space="preserve"> </w:t>
            </w:r>
            <w:proofErr w:type="spellStart"/>
            <w:r w:rsidRPr="00DB5AA7">
              <w:rPr>
                <w:sz w:val="18"/>
                <w:szCs w:val="18"/>
                <w:lang w:val="en-US"/>
              </w:rPr>
              <w:t>sau</w:t>
            </w:r>
            <w:proofErr w:type="spellEnd"/>
            <w:r w:rsidRPr="00DB5AA7">
              <w:rPr>
                <w:sz w:val="18"/>
                <w:szCs w:val="18"/>
                <w:lang w:val="en-US"/>
              </w:rPr>
              <w:t xml:space="preserve"> </w:t>
            </w:r>
            <w:proofErr w:type="spellStart"/>
            <w:r w:rsidRPr="00DB5AA7">
              <w:rPr>
                <w:sz w:val="18"/>
                <w:szCs w:val="18"/>
                <w:lang w:val="en-US"/>
              </w:rPr>
              <w:t>mărfuri</w:t>
            </w:r>
            <w:proofErr w:type="spellEnd"/>
            <w:r w:rsidRPr="00DB5AA7">
              <w:rPr>
                <w:sz w:val="18"/>
                <w:szCs w:val="18"/>
                <w:lang w:val="en-US"/>
              </w:rPr>
              <w:t xml:space="preserve"> </w:t>
            </w:r>
            <w:proofErr w:type="spellStart"/>
            <w:r w:rsidRPr="00DB5AA7">
              <w:rPr>
                <w:sz w:val="18"/>
                <w:szCs w:val="18"/>
                <w:lang w:val="en-US"/>
              </w:rPr>
              <w:t>înainte</w:t>
            </w:r>
            <w:proofErr w:type="spellEnd"/>
            <w:r w:rsidRPr="00DB5AA7">
              <w:rPr>
                <w:sz w:val="18"/>
                <w:szCs w:val="18"/>
                <w:lang w:val="en-US"/>
              </w:rPr>
              <w:t xml:space="preserve"> de a le </w:t>
            </w:r>
            <w:proofErr w:type="spellStart"/>
            <w:r w:rsidRPr="00DB5AA7">
              <w:rPr>
                <w:sz w:val="18"/>
                <w:szCs w:val="18"/>
                <w:lang w:val="en-US"/>
              </w:rPr>
              <w:t>primi</w:t>
            </w:r>
            <w:proofErr w:type="spellEnd"/>
            <w:r w:rsidRPr="00DB5AA7">
              <w:rPr>
                <w:sz w:val="18"/>
                <w:szCs w:val="18"/>
                <w:lang w:val="en-US"/>
              </w:rPr>
              <w:t xml:space="preserve"> </w:t>
            </w:r>
            <w:proofErr w:type="spellStart"/>
            <w:r w:rsidRPr="00DB5AA7">
              <w:rPr>
                <w:sz w:val="18"/>
                <w:szCs w:val="18"/>
                <w:lang w:val="en-US"/>
              </w:rPr>
              <w:t>sau</w:t>
            </w:r>
            <w:proofErr w:type="spellEnd"/>
            <w:r w:rsidRPr="00DB5AA7">
              <w:rPr>
                <w:sz w:val="18"/>
                <w:szCs w:val="18"/>
                <w:lang w:val="en-US"/>
              </w:rPr>
              <w:t xml:space="preserve"> a </w:t>
            </w:r>
            <w:proofErr w:type="spellStart"/>
            <w:r w:rsidRPr="00DB5AA7">
              <w:rPr>
                <w:sz w:val="18"/>
                <w:szCs w:val="18"/>
                <w:lang w:val="en-US"/>
              </w:rPr>
              <w:t>livrat</w:t>
            </w:r>
            <w:proofErr w:type="spellEnd"/>
            <w:r w:rsidRPr="00DB5AA7">
              <w:rPr>
                <w:sz w:val="18"/>
                <w:szCs w:val="18"/>
                <w:lang w:val="en-US"/>
              </w:rPr>
              <w:t xml:space="preserve"> </w:t>
            </w:r>
            <w:proofErr w:type="spellStart"/>
            <w:r w:rsidRPr="00DB5AA7">
              <w:rPr>
                <w:sz w:val="18"/>
                <w:szCs w:val="18"/>
                <w:lang w:val="en-US"/>
              </w:rPr>
              <w:t>titluri</w:t>
            </w:r>
            <w:proofErr w:type="spellEnd"/>
            <w:r w:rsidRPr="00DB5AA7">
              <w:rPr>
                <w:sz w:val="18"/>
                <w:szCs w:val="18"/>
                <w:lang w:val="en-US"/>
              </w:rPr>
              <w:t xml:space="preserve">, </w:t>
            </w:r>
            <w:proofErr w:type="spellStart"/>
            <w:r w:rsidRPr="00DB5AA7">
              <w:rPr>
                <w:sz w:val="18"/>
                <w:szCs w:val="18"/>
                <w:lang w:val="en-US"/>
              </w:rPr>
              <w:t>valute</w:t>
            </w:r>
            <w:proofErr w:type="spellEnd"/>
            <w:r w:rsidRPr="00DB5AA7">
              <w:rPr>
                <w:sz w:val="18"/>
                <w:szCs w:val="18"/>
                <w:lang w:val="en-US"/>
              </w:rPr>
              <w:t xml:space="preserve"> </w:t>
            </w:r>
            <w:proofErr w:type="spellStart"/>
            <w:r w:rsidRPr="00DB5AA7">
              <w:rPr>
                <w:sz w:val="18"/>
                <w:szCs w:val="18"/>
                <w:lang w:val="en-US"/>
              </w:rPr>
              <w:t>sau</w:t>
            </w:r>
            <w:proofErr w:type="spellEnd"/>
            <w:r w:rsidRPr="00DB5AA7">
              <w:rPr>
                <w:sz w:val="18"/>
                <w:szCs w:val="18"/>
                <w:lang w:val="en-US"/>
              </w:rPr>
              <w:t xml:space="preserve"> </w:t>
            </w:r>
            <w:proofErr w:type="spellStart"/>
            <w:r w:rsidRPr="00DB5AA7">
              <w:rPr>
                <w:sz w:val="18"/>
                <w:szCs w:val="18"/>
                <w:lang w:val="en-US"/>
              </w:rPr>
              <w:t>mărfuri</w:t>
            </w:r>
            <w:proofErr w:type="spellEnd"/>
            <w:r w:rsidRPr="00DB5AA7">
              <w:rPr>
                <w:sz w:val="18"/>
                <w:szCs w:val="18"/>
                <w:lang w:val="en-US"/>
              </w:rPr>
              <w:t xml:space="preserve"> </w:t>
            </w:r>
            <w:proofErr w:type="spellStart"/>
            <w:r w:rsidRPr="00DB5AA7">
              <w:rPr>
                <w:sz w:val="18"/>
                <w:szCs w:val="18"/>
                <w:lang w:val="en-US"/>
              </w:rPr>
              <w:t>înainte</w:t>
            </w:r>
            <w:proofErr w:type="spellEnd"/>
            <w:r w:rsidRPr="00DB5AA7">
              <w:rPr>
                <w:sz w:val="18"/>
                <w:szCs w:val="18"/>
                <w:lang w:val="en-US"/>
              </w:rPr>
              <w:t xml:space="preserve"> de a </w:t>
            </w:r>
            <w:proofErr w:type="spellStart"/>
            <w:r w:rsidRPr="00DB5AA7">
              <w:rPr>
                <w:sz w:val="18"/>
                <w:szCs w:val="18"/>
                <w:lang w:val="en-US"/>
              </w:rPr>
              <w:t>primi</w:t>
            </w:r>
            <w:proofErr w:type="spellEnd"/>
            <w:r w:rsidRPr="00DB5AA7">
              <w:rPr>
                <w:sz w:val="18"/>
                <w:szCs w:val="18"/>
                <w:lang w:val="en-US"/>
              </w:rPr>
              <w:t xml:space="preserve"> </w:t>
            </w:r>
            <w:proofErr w:type="spellStart"/>
            <w:r w:rsidRPr="00DB5AA7">
              <w:rPr>
                <w:sz w:val="18"/>
                <w:szCs w:val="18"/>
                <w:lang w:val="en-US"/>
              </w:rPr>
              <w:t>plata</w:t>
            </w:r>
            <w:proofErr w:type="spellEnd"/>
            <w:r w:rsidRPr="00DB5AA7">
              <w:rPr>
                <w:sz w:val="18"/>
                <w:szCs w:val="18"/>
                <w:lang w:val="en-US"/>
              </w:rPr>
              <w:t xml:space="preserve"> </w:t>
            </w:r>
            <w:proofErr w:type="spellStart"/>
            <w:proofErr w:type="gramStart"/>
            <w:r w:rsidRPr="00DB5AA7">
              <w:rPr>
                <w:sz w:val="18"/>
                <w:szCs w:val="18"/>
                <w:lang w:val="en-US"/>
              </w:rPr>
              <w:t>aferentă</w:t>
            </w:r>
            <w:proofErr w:type="spellEnd"/>
            <w:r w:rsidRPr="00DB5AA7">
              <w:rPr>
                <w:sz w:val="18"/>
                <w:szCs w:val="18"/>
                <w:lang w:val="en-US"/>
              </w:rPr>
              <w:t>;</w:t>
            </w:r>
            <w:proofErr w:type="gramEnd"/>
            <w:r w:rsidRPr="00DB5AA7">
              <w:rPr>
                <w:sz w:val="18"/>
                <w:szCs w:val="18"/>
                <w:lang w:val="en-US"/>
              </w:rPr>
              <w:t xml:space="preserve"> </w:t>
            </w:r>
          </w:p>
          <w:p w14:paraId="47785D90" w14:textId="77777777" w:rsidR="00067C06" w:rsidRDefault="00067C06" w:rsidP="00067C06">
            <w:pPr>
              <w:rPr>
                <w:sz w:val="18"/>
                <w:szCs w:val="18"/>
                <w:lang w:val="en-US"/>
              </w:rPr>
            </w:pPr>
            <w:r w:rsidRPr="00DB5AA7">
              <w:rPr>
                <w:sz w:val="18"/>
                <w:szCs w:val="18"/>
                <w:lang w:val="en-US"/>
              </w:rPr>
              <w:t xml:space="preserve">(b)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cazul</w:t>
            </w:r>
            <w:proofErr w:type="spellEnd"/>
            <w:r w:rsidRPr="00DB5AA7">
              <w:rPr>
                <w:sz w:val="18"/>
                <w:szCs w:val="18"/>
                <w:lang w:val="en-US"/>
              </w:rPr>
              <w:t xml:space="preserve"> </w:t>
            </w:r>
            <w:proofErr w:type="spellStart"/>
            <w:r w:rsidRPr="00DB5AA7">
              <w:rPr>
                <w:sz w:val="18"/>
                <w:szCs w:val="18"/>
                <w:lang w:val="en-US"/>
              </w:rPr>
              <w:t>tranzacţiilor</w:t>
            </w:r>
            <w:proofErr w:type="spellEnd"/>
            <w:r w:rsidRPr="00DB5AA7">
              <w:rPr>
                <w:sz w:val="18"/>
                <w:szCs w:val="18"/>
                <w:lang w:val="en-US"/>
              </w:rPr>
              <w:t xml:space="preserve"> </w:t>
            </w:r>
            <w:proofErr w:type="spellStart"/>
            <w:r w:rsidRPr="00DB5AA7">
              <w:rPr>
                <w:sz w:val="18"/>
                <w:szCs w:val="18"/>
                <w:lang w:val="en-US"/>
              </w:rPr>
              <w:t>transfrontaliere</w:t>
            </w:r>
            <w:proofErr w:type="spellEnd"/>
            <w:r w:rsidRPr="00DB5AA7">
              <w:rPr>
                <w:sz w:val="18"/>
                <w:szCs w:val="18"/>
                <w:lang w:val="en-US"/>
              </w:rPr>
              <w:t xml:space="preserve">, a </w:t>
            </w:r>
            <w:proofErr w:type="spellStart"/>
            <w:r w:rsidRPr="00DB5AA7">
              <w:rPr>
                <w:sz w:val="18"/>
                <w:szCs w:val="18"/>
                <w:lang w:val="en-US"/>
              </w:rPr>
              <w:t>trecut</w:t>
            </w:r>
            <w:proofErr w:type="spellEnd"/>
            <w:r w:rsidRPr="00DB5AA7">
              <w:rPr>
                <w:sz w:val="18"/>
                <w:szCs w:val="18"/>
                <w:lang w:val="en-US"/>
              </w:rPr>
              <w:t xml:space="preserve"> o zi </w:t>
            </w:r>
            <w:proofErr w:type="spellStart"/>
            <w:r w:rsidRPr="00DB5AA7">
              <w:rPr>
                <w:sz w:val="18"/>
                <w:szCs w:val="18"/>
                <w:lang w:val="en-US"/>
              </w:rPr>
              <w:t>sau</w:t>
            </w:r>
            <w:proofErr w:type="spellEnd"/>
            <w:r w:rsidRPr="00DB5AA7">
              <w:rPr>
                <w:sz w:val="18"/>
                <w:szCs w:val="18"/>
                <w:lang w:val="en-US"/>
              </w:rPr>
              <w:t xml:space="preserve"> </w:t>
            </w:r>
            <w:proofErr w:type="spellStart"/>
            <w:r w:rsidRPr="00DB5AA7">
              <w:rPr>
                <w:sz w:val="18"/>
                <w:szCs w:val="18"/>
                <w:lang w:val="en-US"/>
              </w:rPr>
              <w:t>mai</w:t>
            </w:r>
            <w:proofErr w:type="spellEnd"/>
            <w:r w:rsidRPr="00DB5AA7">
              <w:rPr>
                <w:sz w:val="18"/>
                <w:szCs w:val="18"/>
                <w:lang w:val="en-US"/>
              </w:rPr>
              <w:t xml:space="preserve"> </w:t>
            </w:r>
            <w:proofErr w:type="spellStart"/>
            <w:r w:rsidRPr="00DB5AA7">
              <w:rPr>
                <w:sz w:val="18"/>
                <w:szCs w:val="18"/>
                <w:lang w:val="en-US"/>
              </w:rPr>
              <w:t>mult</w:t>
            </w:r>
            <w:proofErr w:type="spellEnd"/>
            <w:r w:rsidRPr="00DB5AA7">
              <w:rPr>
                <w:sz w:val="18"/>
                <w:szCs w:val="18"/>
                <w:lang w:val="en-US"/>
              </w:rPr>
              <w:t xml:space="preserve"> de </w:t>
            </w:r>
            <w:proofErr w:type="spellStart"/>
            <w:r w:rsidRPr="00DB5AA7">
              <w:rPr>
                <w:sz w:val="18"/>
                <w:szCs w:val="18"/>
                <w:lang w:val="en-US"/>
              </w:rPr>
              <w:t>când</w:t>
            </w:r>
            <w:proofErr w:type="spellEnd"/>
            <w:r w:rsidRPr="00DB5AA7">
              <w:rPr>
                <w:sz w:val="18"/>
                <w:szCs w:val="18"/>
                <w:lang w:val="en-US"/>
              </w:rPr>
              <w:t xml:space="preserve"> </w:t>
            </w:r>
            <w:proofErr w:type="spellStart"/>
            <w:r w:rsidRPr="00DB5AA7">
              <w:rPr>
                <w:sz w:val="18"/>
                <w:szCs w:val="18"/>
                <w:lang w:val="en-US"/>
              </w:rPr>
              <w:t>aceasta</w:t>
            </w:r>
            <w:proofErr w:type="spellEnd"/>
            <w:r w:rsidRPr="00DB5AA7">
              <w:rPr>
                <w:sz w:val="18"/>
                <w:szCs w:val="18"/>
                <w:lang w:val="en-US"/>
              </w:rPr>
              <w:t xml:space="preserve"> </w:t>
            </w:r>
            <w:proofErr w:type="gramStart"/>
            <w:r w:rsidRPr="00DB5AA7">
              <w:rPr>
                <w:sz w:val="18"/>
                <w:szCs w:val="18"/>
                <w:lang w:val="en-US"/>
              </w:rPr>
              <w:t>a</w:t>
            </w:r>
            <w:proofErr w:type="gramEnd"/>
            <w:r w:rsidRPr="00DB5AA7">
              <w:rPr>
                <w:sz w:val="18"/>
                <w:szCs w:val="18"/>
                <w:lang w:val="en-US"/>
              </w:rPr>
              <w:t xml:space="preserve"> </w:t>
            </w:r>
            <w:proofErr w:type="spellStart"/>
            <w:r w:rsidRPr="00DB5AA7">
              <w:rPr>
                <w:sz w:val="18"/>
                <w:szCs w:val="18"/>
                <w:lang w:val="en-US"/>
              </w:rPr>
              <w:t>efectuat</w:t>
            </w:r>
            <w:proofErr w:type="spellEnd"/>
            <w:r w:rsidRPr="00DB5AA7">
              <w:rPr>
                <w:sz w:val="18"/>
                <w:szCs w:val="18"/>
                <w:lang w:val="en-US"/>
              </w:rPr>
              <w:t xml:space="preserve"> </w:t>
            </w:r>
            <w:proofErr w:type="spellStart"/>
            <w:r w:rsidRPr="00DB5AA7">
              <w:rPr>
                <w:sz w:val="18"/>
                <w:szCs w:val="18"/>
                <w:lang w:val="en-US"/>
              </w:rPr>
              <w:t>plata</w:t>
            </w:r>
            <w:proofErr w:type="spellEnd"/>
            <w:r w:rsidRPr="00DB5AA7">
              <w:rPr>
                <w:sz w:val="18"/>
                <w:szCs w:val="18"/>
                <w:lang w:val="en-US"/>
              </w:rPr>
              <w:t xml:space="preserve"> </w:t>
            </w:r>
            <w:proofErr w:type="spellStart"/>
            <w:r w:rsidRPr="00DB5AA7">
              <w:rPr>
                <w:sz w:val="18"/>
                <w:szCs w:val="18"/>
                <w:lang w:val="en-US"/>
              </w:rPr>
              <w:t>ori</w:t>
            </w:r>
            <w:proofErr w:type="spellEnd"/>
            <w:r w:rsidRPr="00DB5AA7">
              <w:rPr>
                <w:sz w:val="18"/>
                <w:szCs w:val="18"/>
                <w:lang w:val="en-US"/>
              </w:rPr>
              <w:t xml:space="preserve"> </w:t>
            </w:r>
            <w:proofErr w:type="spellStart"/>
            <w:r w:rsidRPr="00DB5AA7">
              <w:rPr>
                <w:sz w:val="18"/>
                <w:szCs w:val="18"/>
                <w:lang w:val="en-US"/>
              </w:rPr>
              <w:t>livrarea</w:t>
            </w:r>
            <w:proofErr w:type="spellEnd"/>
            <w:r w:rsidRPr="00DB5AA7">
              <w:rPr>
                <w:sz w:val="18"/>
                <w:szCs w:val="18"/>
                <w:lang w:val="en-US"/>
              </w:rPr>
              <w:t xml:space="preserve">. </w:t>
            </w:r>
          </w:p>
          <w:p w14:paraId="6FAA41A4" w14:textId="77777777" w:rsidR="00067C06" w:rsidRDefault="00067C06" w:rsidP="00067C06">
            <w:pPr>
              <w:rPr>
                <w:sz w:val="18"/>
                <w:szCs w:val="18"/>
                <w:lang w:val="en-US"/>
              </w:rPr>
            </w:pPr>
          </w:p>
          <w:p w14:paraId="71A512BB" w14:textId="77777777" w:rsidR="00067C06" w:rsidRDefault="00067C06" w:rsidP="00067C06">
            <w:pPr>
              <w:rPr>
                <w:sz w:val="18"/>
                <w:szCs w:val="18"/>
                <w:lang w:val="en-US"/>
              </w:rPr>
            </w:pPr>
            <w:proofErr w:type="spellStart"/>
            <w:r w:rsidRPr="00DB5AA7">
              <w:rPr>
                <w:sz w:val="18"/>
                <w:szCs w:val="18"/>
                <w:lang w:val="en-US"/>
              </w:rPr>
              <w:t>Tabelul</w:t>
            </w:r>
            <w:proofErr w:type="spellEnd"/>
            <w:r w:rsidRPr="00DB5AA7">
              <w:rPr>
                <w:sz w:val="18"/>
                <w:szCs w:val="18"/>
                <w:lang w:val="en-US"/>
              </w:rPr>
              <w:t xml:space="preserve"> 2 </w:t>
            </w:r>
          </w:p>
          <w:p w14:paraId="64CC8E56" w14:textId="509D1EB8" w:rsidR="00067C06" w:rsidRPr="00AD6D61" w:rsidRDefault="00AD6D61" w:rsidP="00AD6D61">
            <w:pPr>
              <w:rPr>
                <w:b/>
                <w:bCs/>
                <w:sz w:val="18"/>
                <w:szCs w:val="18"/>
                <w:lang w:val="en-US"/>
              </w:rPr>
            </w:pPr>
            <w:proofErr w:type="spellStart"/>
            <w:r w:rsidRPr="00AD6D61">
              <w:rPr>
                <w:b/>
                <w:bCs/>
                <w:sz w:val="18"/>
                <w:szCs w:val="18"/>
                <w:lang w:val="en-US"/>
              </w:rPr>
              <w:t>Tratamentul</w:t>
            </w:r>
            <w:proofErr w:type="spellEnd"/>
            <w:r w:rsidRPr="00AD6D61">
              <w:rPr>
                <w:b/>
                <w:bCs/>
                <w:sz w:val="18"/>
                <w:szCs w:val="18"/>
                <w:lang w:val="en-US"/>
              </w:rPr>
              <w:t xml:space="preserve"> </w:t>
            </w:r>
            <w:proofErr w:type="spellStart"/>
            <w:r w:rsidRPr="00AD6D61">
              <w:rPr>
                <w:b/>
                <w:bCs/>
                <w:sz w:val="18"/>
                <w:szCs w:val="18"/>
                <w:lang w:val="en-US"/>
              </w:rPr>
              <w:t>tranzacţiilor</w:t>
            </w:r>
            <w:proofErr w:type="spellEnd"/>
            <w:r w:rsidRPr="00AD6D61">
              <w:rPr>
                <w:b/>
                <w:bCs/>
                <w:sz w:val="18"/>
                <w:szCs w:val="18"/>
                <w:lang w:val="en-US"/>
              </w:rPr>
              <w:t xml:space="preserve"> incomplete din </w:t>
            </w:r>
            <w:proofErr w:type="spellStart"/>
            <w:r w:rsidRPr="00AD6D61">
              <w:rPr>
                <w:b/>
                <w:bCs/>
                <w:sz w:val="18"/>
                <w:szCs w:val="18"/>
                <w:lang w:val="en-US"/>
              </w:rPr>
              <w:t>punctul</w:t>
            </w:r>
            <w:proofErr w:type="spellEnd"/>
            <w:r w:rsidRPr="00AD6D61">
              <w:rPr>
                <w:b/>
                <w:bCs/>
                <w:sz w:val="18"/>
                <w:szCs w:val="18"/>
                <w:lang w:val="en-US"/>
              </w:rPr>
              <w:t xml:space="preserve"> de </w:t>
            </w:r>
            <w:proofErr w:type="spellStart"/>
            <w:r w:rsidRPr="00AD6D61">
              <w:rPr>
                <w:b/>
                <w:bCs/>
                <w:sz w:val="18"/>
                <w:szCs w:val="18"/>
                <w:lang w:val="en-US"/>
              </w:rPr>
              <w:t>vedere</w:t>
            </w:r>
            <w:proofErr w:type="spellEnd"/>
            <w:r w:rsidRPr="00AD6D61">
              <w:rPr>
                <w:b/>
                <w:bCs/>
                <w:sz w:val="18"/>
                <w:szCs w:val="18"/>
                <w:lang w:val="en-US"/>
              </w:rPr>
              <w:t xml:space="preserve"> al </w:t>
            </w:r>
            <w:proofErr w:type="spellStart"/>
            <w:r w:rsidRPr="00AD6D61">
              <w:rPr>
                <w:b/>
                <w:bCs/>
                <w:sz w:val="18"/>
                <w:szCs w:val="18"/>
                <w:lang w:val="en-US"/>
              </w:rPr>
              <w:t>cerinţelor</w:t>
            </w:r>
            <w:proofErr w:type="spellEnd"/>
            <w:r w:rsidRPr="00AD6D61">
              <w:rPr>
                <w:b/>
                <w:bCs/>
                <w:sz w:val="18"/>
                <w:szCs w:val="18"/>
                <w:lang w:val="en-US"/>
              </w:rPr>
              <w:t xml:space="preserve"> de capital</w:t>
            </w:r>
          </w:p>
          <w:tbl>
            <w:tblPr>
              <w:tblW w:w="411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709"/>
              <w:gridCol w:w="948"/>
              <w:gridCol w:w="1284"/>
              <w:gridCol w:w="1169"/>
            </w:tblGrid>
            <w:tr w:rsidR="00067C06" w:rsidRPr="00AD6D61" w14:paraId="006BAB07" w14:textId="77777777" w:rsidTr="004626CE">
              <w:trPr>
                <w:trHeight w:val="290"/>
              </w:trPr>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7D6391" w14:textId="77777777" w:rsidR="00067C06" w:rsidRPr="00067C06" w:rsidRDefault="00067C06" w:rsidP="00067C06">
                  <w:pPr>
                    <w:spacing w:before="60" w:after="60"/>
                    <w:jc w:val="both"/>
                    <w:rPr>
                      <w:b/>
                      <w:bCs/>
                      <w:color w:val="000000"/>
                      <w:sz w:val="16"/>
                      <w:szCs w:val="16"/>
                      <w:lang w:val="ro-MD" w:eastAsia="ro-MD"/>
                    </w:rPr>
                  </w:pPr>
                  <w:bookmarkStart w:id="2" w:name="_Hlk206588866"/>
                  <w:r w:rsidRPr="00067C06">
                    <w:rPr>
                      <w:b/>
                      <w:bCs/>
                      <w:color w:val="000000"/>
                      <w:sz w:val="16"/>
                      <w:szCs w:val="16"/>
                      <w:lang w:val="ro-MD" w:eastAsia="ro-MD"/>
                    </w:rPr>
                    <w:t>Coloana 1</w:t>
                  </w:r>
                </w:p>
              </w:tc>
              <w:tc>
                <w:tcPr>
                  <w:tcW w:w="9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6181D9" w14:textId="77777777" w:rsidR="00067C06" w:rsidRPr="00067C06" w:rsidRDefault="00067C06" w:rsidP="00067C06">
                  <w:pPr>
                    <w:spacing w:before="60" w:after="60"/>
                    <w:jc w:val="both"/>
                    <w:rPr>
                      <w:b/>
                      <w:bCs/>
                      <w:color w:val="000000"/>
                      <w:sz w:val="16"/>
                      <w:szCs w:val="16"/>
                      <w:lang w:val="ro-MD" w:eastAsia="ro-MD"/>
                    </w:rPr>
                  </w:pPr>
                  <w:r w:rsidRPr="00067C06">
                    <w:rPr>
                      <w:b/>
                      <w:bCs/>
                      <w:color w:val="000000"/>
                      <w:sz w:val="16"/>
                      <w:szCs w:val="16"/>
                      <w:lang w:val="ro-MD" w:eastAsia="ro-MD"/>
                    </w:rPr>
                    <w:t>Coloana 2</w:t>
                  </w:r>
                </w:p>
              </w:tc>
              <w:tc>
                <w:tcPr>
                  <w:tcW w:w="12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BF494F" w14:textId="77777777" w:rsidR="00067C06" w:rsidRPr="00067C06" w:rsidRDefault="00067C06" w:rsidP="00067C06">
                  <w:pPr>
                    <w:spacing w:before="60" w:after="60"/>
                    <w:jc w:val="both"/>
                    <w:rPr>
                      <w:b/>
                      <w:bCs/>
                      <w:color w:val="000000"/>
                      <w:sz w:val="16"/>
                      <w:szCs w:val="16"/>
                      <w:lang w:val="ro-MD" w:eastAsia="ro-MD"/>
                    </w:rPr>
                  </w:pPr>
                  <w:r w:rsidRPr="00067C06">
                    <w:rPr>
                      <w:b/>
                      <w:bCs/>
                      <w:color w:val="000000"/>
                      <w:sz w:val="16"/>
                      <w:szCs w:val="16"/>
                      <w:lang w:val="ro-MD" w:eastAsia="ro-MD"/>
                    </w:rPr>
                    <w:t>Coloana 3</w:t>
                  </w:r>
                </w:p>
              </w:tc>
              <w:tc>
                <w:tcPr>
                  <w:tcW w:w="11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6C2F9E" w14:textId="77777777" w:rsidR="00067C06" w:rsidRPr="00067C06" w:rsidRDefault="00067C06" w:rsidP="00067C06">
                  <w:pPr>
                    <w:spacing w:before="60" w:after="60"/>
                    <w:jc w:val="both"/>
                    <w:rPr>
                      <w:b/>
                      <w:bCs/>
                      <w:color w:val="000000"/>
                      <w:sz w:val="16"/>
                      <w:szCs w:val="16"/>
                      <w:lang w:val="ro-MD" w:eastAsia="ro-MD"/>
                    </w:rPr>
                  </w:pPr>
                  <w:r w:rsidRPr="00067C06">
                    <w:rPr>
                      <w:b/>
                      <w:bCs/>
                      <w:color w:val="000000"/>
                      <w:sz w:val="16"/>
                      <w:szCs w:val="16"/>
                      <w:lang w:val="ro-MD" w:eastAsia="ro-MD"/>
                    </w:rPr>
                    <w:t>Coloana 4</w:t>
                  </w:r>
                </w:p>
              </w:tc>
            </w:tr>
            <w:tr w:rsidR="00067C06" w:rsidRPr="006D6A9C" w14:paraId="60E53729" w14:textId="77777777" w:rsidTr="004626CE">
              <w:trPr>
                <w:trHeight w:val="647"/>
              </w:trPr>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8CCAF0" w14:textId="77777777" w:rsidR="00067C06" w:rsidRPr="00067C06" w:rsidRDefault="00067C06" w:rsidP="00067C06">
                  <w:pPr>
                    <w:spacing w:before="60" w:after="60"/>
                    <w:rPr>
                      <w:color w:val="000000"/>
                      <w:sz w:val="16"/>
                      <w:szCs w:val="16"/>
                      <w:lang w:val="ro-MD" w:eastAsia="ro-MD"/>
                    </w:rPr>
                  </w:pPr>
                  <w:r w:rsidRPr="00067C06">
                    <w:rPr>
                      <w:color w:val="000000"/>
                      <w:sz w:val="16"/>
                      <w:szCs w:val="16"/>
                      <w:lang w:val="ro-MD" w:eastAsia="ro-MD"/>
                    </w:rPr>
                    <w:t>Tipul tranzacției</w:t>
                  </w:r>
                </w:p>
              </w:tc>
              <w:tc>
                <w:tcPr>
                  <w:tcW w:w="9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523726" w14:textId="77777777" w:rsidR="00067C06" w:rsidRPr="00067C06" w:rsidRDefault="00067C06" w:rsidP="00067C06">
                  <w:pPr>
                    <w:spacing w:before="60" w:after="60"/>
                    <w:rPr>
                      <w:color w:val="000000"/>
                      <w:sz w:val="16"/>
                      <w:szCs w:val="16"/>
                      <w:lang w:val="ro-MD" w:eastAsia="ro-MD"/>
                    </w:rPr>
                  </w:pPr>
                  <w:r w:rsidRPr="00067C06">
                    <w:rPr>
                      <w:color w:val="000000"/>
                      <w:sz w:val="16"/>
                      <w:szCs w:val="16"/>
                      <w:lang w:val="ro-MD" w:eastAsia="ro-MD"/>
                    </w:rPr>
                    <w:t>Până la prima plată contractuală sau primul segment al livrării</w:t>
                  </w:r>
                </w:p>
              </w:tc>
              <w:tc>
                <w:tcPr>
                  <w:tcW w:w="12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1A8991" w14:textId="77777777" w:rsidR="00067C06" w:rsidRPr="00067C06" w:rsidRDefault="00067C06" w:rsidP="00067C06">
                  <w:pPr>
                    <w:spacing w:before="60" w:after="60"/>
                    <w:rPr>
                      <w:color w:val="000000"/>
                      <w:sz w:val="16"/>
                      <w:szCs w:val="16"/>
                      <w:lang w:val="ro-MD" w:eastAsia="ro-MD"/>
                    </w:rPr>
                  </w:pPr>
                  <w:r w:rsidRPr="00067C06">
                    <w:rPr>
                      <w:color w:val="000000"/>
                      <w:sz w:val="16"/>
                      <w:szCs w:val="16"/>
                      <w:lang w:val="ro-MD" w:eastAsia="ro-MD"/>
                    </w:rPr>
                    <w:t>De la prima plată contractuală sau primul segment al livrării și până la patru zile după a doua plată contractuală sau al doilea segment al livrării</w:t>
                  </w:r>
                </w:p>
              </w:tc>
              <w:tc>
                <w:tcPr>
                  <w:tcW w:w="11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1C5492" w14:textId="77777777" w:rsidR="00067C06" w:rsidRPr="00067C06" w:rsidRDefault="00067C06" w:rsidP="00067C06">
                  <w:pPr>
                    <w:spacing w:before="60" w:after="60"/>
                    <w:rPr>
                      <w:color w:val="000000"/>
                      <w:sz w:val="16"/>
                      <w:szCs w:val="16"/>
                      <w:lang w:val="ro-MD" w:eastAsia="ro-MD"/>
                    </w:rPr>
                  </w:pPr>
                  <w:r w:rsidRPr="00067C06">
                    <w:rPr>
                      <w:color w:val="000000"/>
                      <w:sz w:val="16"/>
                      <w:szCs w:val="16"/>
                      <w:lang w:val="ro-MD" w:eastAsia="ro-MD"/>
                    </w:rPr>
                    <w:t>De la 5 zile lucrătoare după a doua plată contractuală sau al doilea segment al livrării și până la stingerea tranzacției</w:t>
                  </w:r>
                </w:p>
              </w:tc>
            </w:tr>
            <w:tr w:rsidR="00067C06" w:rsidRPr="006D6A9C" w14:paraId="288D7BF2" w14:textId="77777777" w:rsidTr="004626CE">
              <w:trPr>
                <w:trHeight w:val="213"/>
              </w:trPr>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81FCBB" w14:textId="77777777" w:rsidR="00067C06" w:rsidRPr="00067C06" w:rsidRDefault="00067C06" w:rsidP="00067C06">
                  <w:pPr>
                    <w:spacing w:before="60" w:after="60"/>
                    <w:rPr>
                      <w:color w:val="000000"/>
                      <w:sz w:val="16"/>
                      <w:szCs w:val="16"/>
                      <w:lang w:val="ro-MD" w:eastAsia="ro-MD"/>
                    </w:rPr>
                  </w:pPr>
                  <w:r w:rsidRPr="00067C06">
                    <w:rPr>
                      <w:color w:val="000000"/>
                      <w:sz w:val="16"/>
                      <w:szCs w:val="16"/>
                      <w:lang w:val="ro-MD" w:eastAsia="ro-MD"/>
                    </w:rPr>
                    <w:t>Tranzacție incompletă</w:t>
                  </w:r>
                </w:p>
              </w:tc>
              <w:tc>
                <w:tcPr>
                  <w:tcW w:w="9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C96DCC" w14:textId="77777777" w:rsidR="00067C06" w:rsidRPr="00067C06" w:rsidRDefault="00067C06" w:rsidP="00067C06">
                  <w:pPr>
                    <w:spacing w:before="60" w:after="60"/>
                    <w:rPr>
                      <w:color w:val="000000"/>
                      <w:sz w:val="16"/>
                      <w:szCs w:val="16"/>
                      <w:lang w:val="ro-MD" w:eastAsia="ro-MD"/>
                    </w:rPr>
                  </w:pPr>
                  <w:r w:rsidRPr="00067C06">
                    <w:rPr>
                      <w:color w:val="000000"/>
                      <w:sz w:val="16"/>
                      <w:szCs w:val="16"/>
                      <w:lang w:val="ro-MD" w:eastAsia="ro-MD"/>
                    </w:rPr>
                    <w:t>Nicio cerință de capital</w:t>
                  </w:r>
                </w:p>
              </w:tc>
              <w:tc>
                <w:tcPr>
                  <w:tcW w:w="12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85F91C" w14:textId="77777777" w:rsidR="00067C06" w:rsidRPr="00067C06" w:rsidRDefault="00067C06" w:rsidP="00067C06">
                  <w:pPr>
                    <w:spacing w:before="60" w:after="60"/>
                    <w:rPr>
                      <w:color w:val="000000"/>
                      <w:sz w:val="16"/>
                      <w:szCs w:val="16"/>
                      <w:lang w:val="ro-MD" w:eastAsia="ro-MD"/>
                    </w:rPr>
                  </w:pPr>
                  <w:r w:rsidRPr="00067C06">
                    <w:rPr>
                      <w:color w:val="000000"/>
                      <w:sz w:val="16"/>
                      <w:szCs w:val="16"/>
                      <w:lang w:val="ro-MD" w:eastAsia="ro-MD"/>
                    </w:rPr>
                    <w:t>Se tratează ca o expunere</w:t>
                  </w:r>
                </w:p>
              </w:tc>
              <w:tc>
                <w:tcPr>
                  <w:tcW w:w="11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B28462" w14:textId="77777777" w:rsidR="00067C06" w:rsidRPr="00067C06" w:rsidRDefault="00067C06" w:rsidP="00067C06">
                  <w:pPr>
                    <w:spacing w:before="60" w:after="60"/>
                    <w:rPr>
                      <w:color w:val="000000"/>
                      <w:sz w:val="16"/>
                      <w:szCs w:val="16"/>
                      <w:lang w:val="ro-MD" w:eastAsia="ro-MD"/>
                    </w:rPr>
                  </w:pPr>
                  <w:r w:rsidRPr="00067C06">
                    <w:rPr>
                      <w:color w:val="000000"/>
                      <w:sz w:val="16"/>
                      <w:szCs w:val="16"/>
                      <w:lang w:val="ro-MD" w:eastAsia="ro-MD"/>
                    </w:rPr>
                    <w:t>Se tratează ca o expunere ponderată la risc cu 1 250  %</w:t>
                  </w:r>
                </w:p>
              </w:tc>
            </w:tr>
            <w:bookmarkEnd w:id="2"/>
          </w:tbl>
          <w:p w14:paraId="170B29E3" w14:textId="51E0BA68" w:rsidR="00632557" w:rsidRPr="003F5B3C" w:rsidRDefault="00632557" w:rsidP="009E142A">
            <w:pPr>
              <w:rPr>
                <w:sz w:val="18"/>
                <w:szCs w:val="18"/>
                <w:lang w:val="en-US"/>
              </w:rPr>
            </w:pPr>
          </w:p>
        </w:tc>
        <w:tc>
          <w:tcPr>
            <w:tcW w:w="3685" w:type="dxa"/>
            <w:shd w:val="clear" w:color="auto" w:fill="auto"/>
          </w:tcPr>
          <w:p w14:paraId="49D1ABCE" w14:textId="77777777" w:rsidR="00C4000F" w:rsidRPr="00C4000F" w:rsidRDefault="00C4000F" w:rsidP="00C4000F">
            <w:pPr>
              <w:jc w:val="center"/>
              <w:rPr>
                <w:b/>
                <w:bCs/>
                <w:sz w:val="18"/>
                <w:szCs w:val="18"/>
                <w:lang w:val="en-US" w:eastAsia="ro-MD"/>
              </w:rPr>
            </w:pPr>
            <w:proofErr w:type="spellStart"/>
            <w:r w:rsidRPr="00C4000F">
              <w:rPr>
                <w:b/>
                <w:bCs/>
                <w:sz w:val="18"/>
                <w:szCs w:val="18"/>
                <w:lang w:val="en-US" w:eastAsia="ro-MD"/>
              </w:rPr>
              <w:lastRenderedPageBreak/>
              <w:t>Capitolul</w:t>
            </w:r>
            <w:proofErr w:type="spellEnd"/>
            <w:r w:rsidRPr="00C4000F">
              <w:rPr>
                <w:b/>
                <w:bCs/>
                <w:sz w:val="18"/>
                <w:szCs w:val="18"/>
                <w:lang w:val="en-US" w:eastAsia="ro-MD"/>
              </w:rPr>
              <w:t xml:space="preserve"> III</w:t>
            </w:r>
          </w:p>
          <w:p w14:paraId="0BB8EA7C" w14:textId="77777777" w:rsidR="00C4000F" w:rsidRPr="00C4000F" w:rsidRDefault="00C4000F" w:rsidP="00C4000F">
            <w:pPr>
              <w:jc w:val="center"/>
              <w:rPr>
                <w:b/>
                <w:bCs/>
                <w:sz w:val="18"/>
                <w:szCs w:val="18"/>
                <w:lang w:val="en-US" w:eastAsia="ro-MD"/>
              </w:rPr>
            </w:pPr>
            <w:r w:rsidRPr="00C4000F">
              <w:rPr>
                <w:b/>
                <w:bCs/>
                <w:sz w:val="18"/>
                <w:szCs w:val="18"/>
                <w:lang w:val="en-US" w:eastAsia="ro-MD"/>
              </w:rPr>
              <w:t> TRANZACŢII INCOMPLETE</w:t>
            </w:r>
          </w:p>
          <w:p w14:paraId="5008590F" w14:textId="77777777" w:rsidR="00C4000F" w:rsidRPr="00C4000F" w:rsidRDefault="00C4000F" w:rsidP="00BE313F">
            <w:pPr>
              <w:jc w:val="both"/>
              <w:rPr>
                <w:sz w:val="18"/>
                <w:szCs w:val="18"/>
                <w:lang w:val="en-US" w:eastAsia="ro-MD"/>
              </w:rPr>
            </w:pPr>
            <w:r w:rsidRPr="00C4000F">
              <w:rPr>
                <w:b/>
                <w:bCs/>
                <w:sz w:val="18"/>
                <w:szCs w:val="18"/>
                <w:lang w:val="en-US" w:eastAsia="ro-MD"/>
              </w:rPr>
              <w:lastRenderedPageBreak/>
              <w:t>8.</w:t>
            </w:r>
            <w:r w:rsidRPr="00C4000F">
              <w:rPr>
                <w:sz w:val="18"/>
                <w:szCs w:val="18"/>
                <w:lang w:val="en-US" w:eastAsia="ro-MD"/>
              </w:rPr>
              <w:t xml:space="preserve"> O banca </w:t>
            </w:r>
            <w:proofErr w:type="spellStart"/>
            <w:r w:rsidRPr="00C4000F">
              <w:rPr>
                <w:sz w:val="18"/>
                <w:szCs w:val="18"/>
                <w:lang w:val="en-US" w:eastAsia="ro-MD"/>
              </w:rPr>
              <w:t>trebuie</w:t>
            </w:r>
            <w:proofErr w:type="spellEnd"/>
            <w:r w:rsidRPr="00C4000F">
              <w:rPr>
                <w:sz w:val="18"/>
                <w:szCs w:val="18"/>
                <w:lang w:val="en-US" w:eastAsia="ro-MD"/>
              </w:rPr>
              <w:t xml:space="preserve"> </w:t>
            </w:r>
            <w:proofErr w:type="spellStart"/>
            <w:r w:rsidRPr="00C4000F">
              <w:rPr>
                <w:sz w:val="18"/>
                <w:szCs w:val="18"/>
                <w:lang w:val="en-US" w:eastAsia="ro-MD"/>
              </w:rPr>
              <w:t>să</w:t>
            </w:r>
            <w:proofErr w:type="spellEnd"/>
            <w:r w:rsidRPr="00C4000F">
              <w:rPr>
                <w:sz w:val="18"/>
                <w:szCs w:val="18"/>
                <w:lang w:val="en-US" w:eastAsia="ro-MD"/>
              </w:rPr>
              <w:t xml:space="preserve"> </w:t>
            </w:r>
            <w:proofErr w:type="spellStart"/>
            <w:r w:rsidRPr="00C4000F">
              <w:rPr>
                <w:sz w:val="18"/>
                <w:szCs w:val="18"/>
                <w:lang w:val="en-US" w:eastAsia="ro-MD"/>
              </w:rPr>
              <w:t>deţină</w:t>
            </w:r>
            <w:proofErr w:type="spellEnd"/>
            <w:r w:rsidRPr="00C4000F">
              <w:rPr>
                <w:sz w:val="18"/>
                <w:szCs w:val="18"/>
                <w:lang w:val="en-US" w:eastAsia="ro-MD"/>
              </w:rPr>
              <w:t xml:space="preserve"> </w:t>
            </w:r>
            <w:proofErr w:type="spellStart"/>
            <w:r w:rsidRPr="00C4000F">
              <w:rPr>
                <w:sz w:val="18"/>
                <w:szCs w:val="18"/>
                <w:lang w:val="en-US" w:eastAsia="ro-MD"/>
              </w:rPr>
              <w:t>fonduri</w:t>
            </w:r>
            <w:proofErr w:type="spellEnd"/>
            <w:r w:rsidRPr="00C4000F">
              <w:rPr>
                <w:sz w:val="18"/>
                <w:szCs w:val="18"/>
                <w:lang w:val="en-US" w:eastAsia="ro-MD"/>
              </w:rPr>
              <w:t xml:space="preserve"> </w:t>
            </w:r>
            <w:proofErr w:type="spellStart"/>
            <w:r w:rsidRPr="00C4000F">
              <w:rPr>
                <w:sz w:val="18"/>
                <w:szCs w:val="18"/>
                <w:lang w:val="en-US" w:eastAsia="ro-MD"/>
              </w:rPr>
              <w:t>proprii</w:t>
            </w:r>
            <w:proofErr w:type="spellEnd"/>
            <w:r w:rsidRPr="00C4000F">
              <w:rPr>
                <w:sz w:val="18"/>
                <w:szCs w:val="18"/>
                <w:lang w:val="en-US" w:eastAsia="ro-MD"/>
              </w:rPr>
              <w:t xml:space="preserve"> </w:t>
            </w:r>
            <w:proofErr w:type="spellStart"/>
            <w:r w:rsidRPr="00C4000F">
              <w:rPr>
                <w:sz w:val="18"/>
                <w:szCs w:val="18"/>
                <w:lang w:val="en-US" w:eastAsia="ro-MD"/>
              </w:rPr>
              <w:t>pentru</w:t>
            </w:r>
            <w:proofErr w:type="spellEnd"/>
            <w:r w:rsidRPr="00C4000F">
              <w:rPr>
                <w:sz w:val="18"/>
                <w:szCs w:val="18"/>
                <w:lang w:val="en-US" w:eastAsia="ro-MD"/>
              </w:rPr>
              <w:t xml:space="preserve"> </w:t>
            </w:r>
            <w:proofErr w:type="spellStart"/>
            <w:r w:rsidRPr="00C4000F">
              <w:rPr>
                <w:sz w:val="18"/>
                <w:szCs w:val="18"/>
                <w:lang w:val="en-US" w:eastAsia="ro-MD"/>
              </w:rPr>
              <w:t>tranzacţii</w:t>
            </w:r>
            <w:proofErr w:type="spellEnd"/>
            <w:r w:rsidRPr="00C4000F">
              <w:rPr>
                <w:sz w:val="18"/>
                <w:szCs w:val="18"/>
                <w:lang w:val="en-US" w:eastAsia="ro-MD"/>
              </w:rPr>
              <w:t xml:space="preserve"> incomplete, </w:t>
            </w:r>
            <w:proofErr w:type="spellStart"/>
            <w:r w:rsidRPr="00C4000F">
              <w:rPr>
                <w:sz w:val="18"/>
                <w:szCs w:val="18"/>
                <w:lang w:val="en-US" w:eastAsia="ro-MD"/>
              </w:rPr>
              <w:t>după</w:t>
            </w:r>
            <w:proofErr w:type="spellEnd"/>
            <w:r w:rsidRPr="00C4000F">
              <w:rPr>
                <w:sz w:val="18"/>
                <w:szCs w:val="18"/>
                <w:lang w:val="en-US" w:eastAsia="ro-MD"/>
              </w:rPr>
              <w:t xml:space="preserve"> cum </w:t>
            </w:r>
            <w:proofErr w:type="spellStart"/>
            <w:r w:rsidRPr="00C4000F">
              <w:rPr>
                <w:sz w:val="18"/>
                <w:szCs w:val="18"/>
                <w:lang w:val="en-US" w:eastAsia="ro-MD"/>
              </w:rPr>
              <w:t>este</w:t>
            </w:r>
            <w:proofErr w:type="spellEnd"/>
            <w:r w:rsidRPr="00C4000F">
              <w:rPr>
                <w:sz w:val="18"/>
                <w:szCs w:val="18"/>
                <w:lang w:val="en-US" w:eastAsia="ro-MD"/>
              </w:rPr>
              <w:t xml:space="preserve"> </w:t>
            </w:r>
            <w:proofErr w:type="spellStart"/>
            <w:r w:rsidRPr="00C4000F">
              <w:rPr>
                <w:sz w:val="18"/>
                <w:szCs w:val="18"/>
                <w:lang w:val="en-US" w:eastAsia="ro-MD"/>
              </w:rPr>
              <w:t>prevăzut</w:t>
            </w:r>
            <w:proofErr w:type="spellEnd"/>
            <w:r w:rsidRPr="00C4000F">
              <w:rPr>
                <w:sz w:val="18"/>
                <w:szCs w:val="18"/>
                <w:lang w:val="en-US" w:eastAsia="ro-MD"/>
              </w:rPr>
              <w:t xml:space="preserve"> </w:t>
            </w:r>
            <w:proofErr w:type="spellStart"/>
            <w:r w:rsidRPr="00C4000F">
              <w:rPr>
                <w:sz w:val="18"/>
                <w:szCs w:val="18"/>
                <w:lang w:val="en-US" w:eastAsia="ro-MD"/>
              </w:rPr>
              <w:t>în</w:t>
            </w:r>
            <w:proofErr w:type="spellEnd"/>
            <w:r w:rsidRPr="00C4000F">
              <w:rPr>
                <w:sz w:val="18"/>
                <w:szCs w:val="18"/>
                <w:lang w:val="en-US" w:eastAsia="ro-MD"/>
              </w:rPr>
              <w:t xml:space="preserve"> </w:t>
            </w:r>
            <w:proofErr w:type="spellStart"/>
            <w:r w:rsidRPr="00C4000F">
              <w:rPr>
                <w:sz w:val="18"/>
                <w:szCs w:val="18"/>
                <w:lang w:val="en-US" w:eastAsia="ro-MD"/>
              </w:rPr>
              <w:t>tabelul</w:t>
            </w:r>
            <w:proofErr w:type="spellEnd"/>
            <w:r w:rsidRPr="00C4000F">
              <w:rPr>
                <w:sz w:val="18"/>
                <w:szCs w:val="18"/>
                <w:lang w:val="en-US" w:eastAsia="ro-MD"/>
              </w:rPr>
              <w:t xml:space="preserve"> 2, </w:t>
            </w:r>
            <w:proofErr w:type="spellStart"/>
            <w:r w:rsidRPr="00C4000F">
              <w:rPr>
                <w:sz w:val="18"/>
                <w:szCs w:val="18"/>
                <w:lang w:val="en-US" w:eastAsia="ro-MD"/>
              </w:rPr>
              <w:t>dacă</w:t>
            </w:r>
            <w:proofErr w:type="spellEnd"/>
            <w:r w:rsidRPr="00C4000F">
              <w:rPr>
                <w:sz w:val="18"/>
                <w:szCs w:val="18"/>
                <w:lang w:val="en-US" w:eastAsia="ro-MD"/>
              </w:rPr>
              <w:t>:</w:t>
            </w:r>
          </w:p>
          <w:p w14:paraId="6B4D6F43" w14:textId="77777777" w:rsidR="00C4000F" w:rsidRPr="00C4000F" w:rsidRDefault="00C4000F" w:rsidP="00BE313F">
            <w:pPr>
              <w:jc w:val="both"/>
              <w:rPr>
                <w:sz w:val="18"/>
                <w:szCs w:val="18"/>
                <w:lang w:val="en-US" w:eastAsia="ro-MD"/>
              </w:rPr>
            </w:pPr>
            <w:r w:rsidRPr="00C4000F">
              <w:rPr>
                <w:sz w:val="18"/>
                <w:szCs w:val="18"/>
                <w:lang w:val="en-US" w:eastAsia="ro-MD"/>
              </w:rPr>
              <w:t xml:space="preserve">1) </w:t>
            </w:r>
            <w:proofErr w:type="spellStart"/>
            <w:r w:rsidRPr="00C4000F">
              <w:rPr>
                <w:sz w:val="18"/>
                <w:szCs w:val="18"/>
                <w:lang w:val="en-US" w:eastAsia="ro-MD"/>
              </w:rPr>
              <w:t>aceasta</w:t>
            </w:r>
            <w:proofErr w:type="spellEnd"/>
            <w:r w:rsidRPr="00C4000F">
              <w:rPr>
                <w:sz w:val="18"/>
                <w:szCs w:val="18"/>
                <w:lang w:val="en-US" w:eastAsia="ro-MD"/>
              </w:rPr>
              <w:t xml:space="preserve"> a </w:t>
            </w:r>
            <w:proofErr w:type="spellStart"/>
            <w:r w:rsidRPr="00C4000F">
              <w:rPr>
                <w:sz w:val="18"/>
                <w:szCs w:val="18"/>
                <w:lang w:val="en-US" w:eastAsia="ro-MD"/>
              </w:rPr>
              <w:t>plătit</w:t>
            </w:r>
            <w:proofErr w:type="spellEnd"/>
            <w:r w:rsidRPr="00C4000F">
              <w:rPr>
                <w:sz w:val="18"/>
                <w:szCs w:val="18"/>
                <w:lang w:val="en-US" w:eastAsia="ro-MD"/>
              </w:rPr>
              <w:t xml:space="preserve"> </w:t>
            </w:r>
            <w:proofErr w:type="spellStart"/>
            <w:r w:rsidRPr="00C4000F">
              <w:rPr>
                <w:sz w:val="18"/>
                <w:szCs w:val="18"/>
                <w:lang w:val="en-US" w:eastAsia="ro-MD"/>
              </w:rPr>
              <w:t>pentru</w:t>
            </w:r>
            <w:proofErr w:type="spellEnd"/>
            <w:r w:rsidRPr="00C4000F">
              <w:rPr>
                <w:sz w:val="18"/>
                <w:szCs w:val="18"/>
                <w:lang w:val="en-US" w:eastAsia="ro-MD"/>
              </w:rPr>
              <w:t xml:space="preserve"> </w:t>
            </w:r>
            <w:proofErr w:type="spellStart"/>
            <w:r w:rsidRPr="00C4000F">
              <w:rPr>
                <w:sz w:val="18"/>
                <w:szCs w:val="18"/>
                <w:lang w:val="en-US" w:eastAsia="ro-MD"/>
              </w:rPr>
              <w:t>valori</w:t>
            </w:r>
            <w:proofErr w:type="spellEnd"/>
            <w:r w:rsidRPr="00C4000F">
              <w:rPr>
                <w:sz w:val="18"/>
                <w:szCs w:val="18"/>
                <w:lang w:val="en-US" w:eastAsia="ro-MD"/>
              </w:rPr>
              <w:t xml:space="preserve"> </w:t>
            </w:r>
            <w:proofErr w:type="spellStart"/>
            <w:r w:rsidRPr="00C4000F">
              <w:rPr>
                <w:sz w:val="18"/>
                <w:szCs w:val="18"/>
                <w:lang w:val="en-US" w:eastAsia="ro-MD"/>
              </w:rPr>
              <w:t>mobiliare</w:t>
            </w:r>
            <w:proofErr w:type="spellEnd"/>
            <w:r w:rsidRPr="00C4000F">
              <w:rPr>
                <w:sz w:val="18"/>
                <w:szCs w:val="18"/>
                <w:lang w:val="en-US" w:eastAsia="ro-MD"/>
              </w:rPr>
              <w:t xml:space="preserve">, </w:t>
            </w:r>
            <w:proofErr w:type="spellStart"/>
            <w:r w:rsidRPr="00C4000F">
              <w:rPr>
                <w:sz w:val="18"/>
                <w:szCs w:val="18"/>
                <w:lang w:val="en-US" w:eastAsia="ro-MD"/>
              </w:rPr>
              <w:t>monede</w:t>
            </w:r>
            <w:proofErr w:type="spellEnd"/>
            <w:r w:rsidRPr="00C4000F">
              <w:rPr>
                <w:sz w:val="18"/>
                <w:szCs w:val="18"/>
                <w:lang w:val="en-US" w:eastAsia="ro-MD"/>
              </w:rPr>
              <w:t xml:space="preserve"> </w:t>
            </w:r>
            <w:proofErr w:type="spellStart"/>
            <w:r w:rsidRPr="00C4000F">
              <w:rPr>
                <w:sz w:val="18"/>
                <w:szCs w:val="18"/>
                <w:lang w:val="en-US" w:eastAsia="ro-MD"/>
              </w:rPr>
              <w:t>sau</w:t>
            </w:r>
            <w:proofErr w:type="spellEnd"/>
            <w:r w:rsidRPr="00C4000F">
              <w:rPr>
                <w:sz w:val="18"/>
                <w:szCs w:val="18"/>
                <w:lang w:val="en-US" w:eastAsia="ro-MD"/>
              </w:rPr>
              <w:t xml:space="preserve"> </w:t>
            </w:r>
            <w:proofErr w:type="spellStart"/>
            <w:r w:rsidRPr="00C4000F">
              <w:rPr>
                <w:sz w:val="18"/>
                <w:szCs w:val="18"/>
                <w:lang w:val="en-US" w:eastAsia="ro-MD"/>
              </w:rPr>
              <w:t>mărfuri</w:t>
            </w:r>
            <w:proofErr w:type="spellEnd"/>
            <w:r w:rsidRPr="00C4000F">
              <w:rPr>
                <w:sz w:val="18"/>
                <w:szCs w:val="18"/>
                <w:lang w:val="en-US" w:eastAsia="ro-MD"/>
              </w:rPr>
              <w:t xml:space="preserve"> </w:t>
            </w:r>
            <w:proofErr w:type="spellStart"/>
            <w:r w:rsidRPr="00C4000F">
              <w:rPr>
                <w:sz w:val="18"/>
                <w:szCs w:val="18"/>
                <w:lang w:val="en-US" w:eastAsia="ro-MD"/>
              </w:rPr>
              <w:t>înainte</w:t>
            </w:r>
            <w:proofErr w:type="spellEnd"/>
            <w:r w:rsidRPr="00C4000F">
              <w:rPr>
                <w:sz w:val="18"/>
                <w:szCs w:val="18"/>
                <w:lang w:val="en-US" w:eastAsia="ro-MD"/>
              </w:rPr>
              <w:t xml:space="preserve"> de a le </w:t>
            </w:r>
            <w:proofErr w:type="spellStart"/>
            <w:r w:rsidRPr="00C4000F">
              <w:rPr>
                <w:sz w:val="18"/>
                <w:szCs w:val="18"/>
                <w:lang w:val="en-US" w:eastAsia="ro-MD"/>
              </w:rPr>
              <w:t>primi</w:t>
            </w:r>
            <w:proofErr w:type="spellEnd"/>
            <w:r w:rsidRPr="00C4000F">
              <w:rPr>
                <w:sz w:val="18"/>
                <w:szCs w:val="18"/>
                <w:lang w:val="en-US" w:eastAsia="ro-MD"/>
              </w:rPr>
              <w:t xml:space="preserve"> </w:t>
            </w:r>
            <w:proofErr w:type="spellStart"/>
            <w:r w:rsidRPr="00C4000F">
              <w:rPr>
                <w:sz w:val="18"/>
                <w:szCs w:val="18"/>
                <w:lang w:val="en-US" w:eastAsia="ro-MD"/>
              </w:rPr>
              <w:t>sau</w:t>
            </w:r>
            <w:proofErr w:type="spellEnd"/>
            <w:r w:rsidRPr="00C4000F">
              <w:rPr>
                <w:sz w:val="18"/>
                <w:szCs w:val="18"/>
                <w:lang w:val="en-US" w:eastAsia="ro-MD"/>
              </w:rPr>
              <w:t xml:space="preserve"> a </w:t>
            </w:r>
            <w:proofErr w:type="spellStart"/>
            <w:r w:rsidRPr="00C4000F">
              <w:rPr>
                <w:sz w:val="18"/>
                <w:szCs w:val="18"/>
                <w:lang w:val="en-US" w:eastAsia="ro-MD"/>
              </w:rPr>
              <w:t>livrat</w:t>
            </w:r>
            <w:proofErr w:type="spellEnd"/>
            <w:r w:rsidRPr="00C4000F">
              <w:rPr>
                <w:sz w:val="18"/>
                <w:szCs w:val="18"/>
                <w:lang w:val="en-US" w:eastAsia="ro-MD"/>
              </w:rPr>
              <w:t xml:space="preserve"> </w:t>
            </w:r>
            <w:proofErr w:type="spellStart"/>
            <w:r w:rsidRPr="00C4000F">
              <w:rPr>
                <w:sz w:val="18"/>
                <w:szCs w:val="18"/>
                <w:lang w:val="en-US" w:eastAsia="ro-MD"/>
              </w:rPr>
              <w:t>valori</w:t>
            </w:r>
            <w:proofErr w:type="spellEnd"/>
            <w:r w:rsidRPr="00C4000F">
              <w:rPr>
                <w:sz w:val="18"/>
                <w:szCs w:val="18"/>
                <w:lang w:val="en-US" w:eastAsia="ro-MD"/>
              </w:rPr>
              <w:t xml:space="preserve"> </w:t>
            </w:r>
            <w:proofErr w:type="spellStart"/>
            <w:r w:rsidRPr="00C4000F">
              <w:rPr>
                <w:sz w:val="18"/>
                <w:szCs w:val="18"/>
                <w:lang w:val="en-US" w:eastAsia="ro-MD"/>
              </w:rPr>
              <w:t>mobiliare</w:t>
            </w:r>
            <w:proofErr w:type="spellEnd"/>
            <w:r w:rsidRPr="00C4000F">
              <w:rPr>
                <w:sz w:val="18"/>
                <w:szCs w:val="18"/>
                <w:lang w:val="en-US" w:eastAsia="ro-MD"/>
              </w:rPr>
              <w:t xml:space="preserve">, </w:t>
            </w:r>
            <w:proofErr w:type="spellStart"/>
            <w:r w:rsidRPr="00C4000F">
              <w:rPr>
                <w:sz w:val="18"/>
                <w:szCs w:val="18"/>
                <w:lang w:val="en-US" w:eastAsia="ro-MD"/>
              </w:rPr>
              <w:t>monede</w:t>
            </w:r>
            <w:proofErr w:type="spellEnd"/>
            <w:r w:rsidRPr="00C4000F">
              <w:rPr>
                <w:sz w:val="18"/>
                <w:szCs w:val="18"/>
                <w:lang w:val="en-US" w:eastAsia="ro-MD"/>
              </w:rPr>
              <w:t xml:space="preserve"> </w:t>
            </w:r>
            <w:proofErr w:type="spellStart"/>
            <w:r w:rsidRPr="00C4000F">
              <w:rPr>
                <w:sz w:val="18"/>
                <w:szCs w:val="18"/>
                <w:lang w:val="en-US" w:eastAsia="ro-MD"/>
              </w:rPr>
              <w:t>sau</w:t>
            </w:r>
            <w:proofErr w:type="spellEnd"/>
            <w:r w:rsidRPr="00C4000F">
              <w:rPr>
                <w:sz w:val="18"/>
                <w:szCs w:val="18"/>
                <w:lang w:val="en-US" w:eastAsia="ro-MD"/>
              </w:rPr>
              <w:t xml:space="preserve"> </w:t>
            </w:r>
            <w:proofErr w:type="spellStart"/>
            <w:r w:rsidRPr="00C4000F">
              <w:rPr>
                <w:sz w:val="18"/>
                <w:szCs w:val="18"/>
                <w:lang w:val="en-US" w:eastAsia="ro-MD"/>
              </w:rPr>
              <w:t>mărfuri</w:t>
            </w:r>
            <w:proofErr w:type="spellEnd"/>
            <w:r w:rsidRPr="00C4000F">
              <w:rPr>
                <w:sz w:val="18"/>
                <w:szCs w:val="18"/>
                <w:lang w:val="en-US" w:eastAsia="ro-MD"/>
              </w:rPr>
              <w:t xml:space="preserve"> </w:t>
            </w:r>
            <w:proofErr w:type="spellStart"/>
            <w:r w:rsidRPr="00C4000F">
              <w:rPr>
                <w:sz w:val="18"/>
                <w:szCs w:val="18"/>
                <w:lang w:val="en-US" w:eastAsia="ro-MD"/>
              </w:rPr>
              <w:t>înainte</w:t>
            </w:r>
            <w:proofErr w:type="spellEnd"/>
            <w:r w:rsidRPr="00C4000F">
              <w:rPr>
                <w:sz w:val="18"/>
                <w:szCs w:val="18"/>
                <w:lang w:val="en-US" w:eastAsia="ro-MD"/>
              </w:rPr>
              <w:t xml:space="preserve"> de a </w:t>
            </w:r>
            <w:proofErr w:type="spellStart"/>
            <w:r w:rsidRPr="00C4000F">
              <w:rPr>
                <w:sz w:val="18"/>
                <w:szCs w:val="18"/>
                <w:lang w:val="en-US" w:eastAsia="ro-MD"/>
              </w:rPr>
              <w:t>primi</w:t>
            </w:r>
            <w:proofErr w:type="spellEnd"/>
            <w:r w:rsidRPr="00C4000F">
              <w:rPr>
                <w:sz w:val="18"/>
                <w:szCs w:val="18"/>
                <w:lang w:val="en-US" w:eastAsia="ro-MD"/>
              </w:rPr>
              <w:t xml:space="preserve"> </w:t>
            </w:r>
            <w:proofErr w:type="spellStart"/>
            <w:r w:rsidRPr="00C4000F">
              <w:rPr>
                <w:sz w:val="18"/>
                <w:szCs w:val="18"/>
                <w:lang w:val="en-US" w:eastAsia="ro-MD"/>
              </w:rPr>
              <w:t>plata</w:t>
            </w:r>
            <w:proofErr w:type="spellEnd"/>
            <w:r w:rsidRPr="00C4000F">
              <w:rPr>
                <w:sz w:val="18"/>
                <w:szCs w:val="18"/>
                <w:lang w:val="en-US" w:eastAsia="ro-MD"/>
              </w:rPr>
              <w:t xml:space="preserve"> </w:t>
            </w:r>
            <w:proofErr w:type="spellStart"/>
            <w:r w:rsidRPr="00C4000F">
              <w:rPr>
                <w:sz w:val="18"/>
                <w:szCs w:val="18"/>
                <w:lang w:val="en-US" w:eastAsia="ro-MD"/>
              </w:rPr>
              <w:t>pentru</w:t>
            </w:r>
            <w:proofErr w:type="spellEnd"/>
            <w:r w:rsidRPr="00C4000F">
              <w:rPr>
                <w:sz w:val="18"/>
                <w:szCs w:val="18"/>
                <w:lang w:val="en-US" w:eastAsia="ro-MD"/>
              </w:rPr>
              <w:t xml:space="preserve"> </w:t>
            </w:r>
            <w:proofErr w:type="spellStart"/>
            <w:proofErr w:type="gramStart"/>
            <w:r w:rsidRPr="00C4000F">
              <w:rPr>
                <w:sz w:val="18"/>
                <w:szCs w:val="18"/>
                <w:lang w:val="en-US" w:eastAsia="ro-MD"/>
              </w:rPr>
              <w:t>acestea</w:t>
            </w:r>
            <w:proofErr w:type="spellEnd"/>
            <w:r w:rsidRPr="00C4000F">
              <w:rPr>
                <w:sz w:val="18"/>
                <w:szCs w:val="18"/>
                <w:lang w:val="en-US" w:eastAsia="ro-MD"/>
              </w:rPr>
              <w:t>;</w:t>
            </w:r>
            <w:proofErr w:type="gramEnd"/>
          </w:p>
          <w:p w14:paraId="14B23CE0" w14:textId="77777777" w:rsidR="00C4000F" w:rsidRPr="00C4000F" w:rsidRDefault="00C4000F" w:rsidP="00BE313F">
            <w:pPr>
              <w:jc w:val="both"/>
              <w:rPr>
                <w:sz w:val="18"/>
                <w:szCs w:val="18"/>
                <w:lang w:val="en-US" w:eastAsia="ro-MD"/>
              </w:rPr>
            </w:pPr>
            <w:r w:rsidRPr="00C4000F">
              <w:rPr>
                <w:sz w:val="18"/>
                <w:szCs w:val="18"/>
                <w:lang w:val="en-US" w:eastAsia="ro-MD"/>
              </w:rPr>
              <w:t xml:space="preserve">2) </w:t>
            </w:r>
            <w:proofErr w:type="spellStart"/>
            <w:r w:rsidRPr="00C4000F">
              <w:rPr>
                <w:sz w:val="18"/>
                <w:szCs w:val="18"/>
                <w:lang w:val="en-US" w:eastAsia="ro-MD"/>
              </w:rPr>
              <w:t>în</w:t>
            </w:r>
            <w:proofErr w:type="spellEnd"/>
            <w:r w:rsidRPr="00C4000F">
              <w:rPr>
                <w:sz w:val="18"/>
                <w:szCs w:val="18"/>
                <w:lang w:val="en-US" w:eastAsia="ro-MD"/>
              </w:rPr>
              <w:t xml:space="preserve"> </w:t>
            </w:r>
            <w:proofErr w:type="spellStart"/>
            <w:r w:rsidRPr="00C4000F">
              <w:rPr>
                <w:sz w:val="18"/>
                <w:szCs w:val="18"/>
                <w:lang w:val="en-US" w:eastAsia="ro-MD"/>
              </w:rPr>
              <w:t>cazul</w:t>
            </w:r>
            <w:proofErr w:type="spellEnd"/>
            <w:r w:rsidRPr="00C4000F">
              <w:rPr>
                <w:sz w:val="18"/>
                <w:szCs w:val="18"/>
                <w:lang w:val="en-US" w:eastAsia="ro-MD"/>
              </w:rPr>
              <w:t xml:space="preserve"> </w:t>
            </w:r>
            <w:proofErr w:type="spellStart"/>
            <w:r w:rsidRPr="00C4000F">
              <w:rPr>
                <w:sz w:val="18"/>
                <w:szCs w:val="18"/>
                <w:lang w:val="en-US" w:eastAsia="ro-MD"/>
              </w:rPr>
              <w:t>tranzacţiilor</w:t>
            </w:r>
            <w:proofErr w:type="spellEnd"/>
            <w:r w:rsidRPr="00C4000F">
              <w:rPr>
                <w:sz w:val="18"/>
                <w:szCs w:val="18"/>
                <w:lang w:val="en-US" w:eastAsia="ro-MD"/>
              </w:rPr>
              <w:t xml:space="preserve"> </w:t>
            </w:r>
            <w:proofErr w:type="spellStart"/>
            <w:r w:rsidRPr="00C4000F">
              <w:rPr>
                <w:sz w:val="18"/>
                <w:szCs w:val="18"/>
                <w:lang w:val="en-US" w:eastAsia="ro-MD"/>
              </w:rPr>
              <w:t>transfrontaliere</w:t>
            </w:r>
            <w:proofErr w:type="spellEnd"/>
            <w:r w:rsidRPr="00C4000F">
              <w:rPr>
                <w:sz w:val="18"/>
                <w:szCs w:val="18"/>
                <w:lang w:val="en-US" w:eastAsia="ro-MD"/>
              </w:rPr>
              <w:t xml:space="preserve">, a </w:t>
            </w:r>
            <w:proofErr w:type="spellStart"/>
            <w:r w:rsidRPr="00C4000F">
              <w:rPr>
                <w:sz w:val="18"/>
                <w:szCs w:val="18"/>
                <w:lang w:val="en-US" w:eastAsia="ro-MD"/>
              </w:rPr>
              <w:t>trecut</w:t>
            </w:r>
            <w:proofErr w:type="spellEnd"/>
            <w:r w:rsidRPr="00C4000F">
              <w:rPr>
                <w:sz w:val="18"/>
                <w:szCs w:val="18"/>
                <w:lang w:val="en-US" w:eastAsia="ro-MD"/>
              </w:rPr>
              <w:t xml:space="preserve"> o zi </w:t>
            </w:r>
            <w:proofErr w:type="spellStart"/>
            <w:r w:rsidRPr="00C4000F">
              <w:rPr>
                <w:sz w:val="18"/>
                <w:szCs w:val="18"/>
                <w:lang w:val="en-US" w:eastAsia="ro-MD"/>
              </w:rPr>
              <w:t>sau</w:t>
            </w:r>
            <w:proofErr w:type="spellEnd"/>
            <w:r w:rsidRPr="00C4000F">
              <w:rPr>
                <w:sz w:val="18"/>
                <w:szCs w:val="18"/>
                <w:lang w:val="en-US" w:eastAsia="ro-MD"/>
              </w:rPr>
              <w:t xml:space="preserve"> </w:t>
            </w:r>
            <w:proofErr w:type="spellStart"/>
            <w:r w:rsidRPr="00C4000F">
              <w:rPr>
                <w:sz w:val="18"/>
                <w:szCs w:val="18"/>
                <w:lang w:val="en-US" w:eastAsia="ro-MD"/>
              </w:rPr>
              <w:t>mai</w:t>
            </w:r>
            <w:proofErr w:type="spellEnd"/>
            <w:r w:rsidRPr="00C4000F">
              <w:rPr>
                <w:sz w:val="18"/>
                <w:szCs w:val="18"/>
                <w:lang w:val="en-US" w:eastAsia="ro-MD"/>
              </w:rPr>
              <w:t xml:space="preserve"> </w:t>
            </w:r>
            <w:proofErr w:type="spellStart"/>
            <w:r w:rsidRPr="00C4000F">
              <w:rPr>
                <w:sz w:val="18"/>
                <w:szCs w:val="18"/>
                <w:lang w:val="en-US" w:eastAsia="ro-MD"/>
              </w:rPr>
              <w:t>mult</w:t>
            </w:r>
            <w:proofErr w:type="spellEnd"/>
            <w:r w:rsidRPr="00C4000F">
              <w:rPr>
                <w:sz w:val="18"/>
                <w:szCs w:val="18"/>
                <w:lang w:val="en-US" w:eastAsia="ro-MD"/>
              </w:rPr>
              <w:t xml:space="preserve"> de </w:t>
            </w:r>
            <w:proofErr w:type="spellStart"/>
            <w:r w:rsidRPr="00C4000F">
              <w:rPr>
                <w:sz w:val="18"/>
                <w:szCs w:val="18"/>
                <w:lang w:val="en-US" w:eastAsia="ro-MD"/>
              </w:rPr>
              <w:t>când</w:t>
            </w:r>
            <w:proofErr w:type="spellEnd"/>
            <w:r w:rsidRPr="00C4000F">
              <w:rPr>
                <w:sz w:val="18"/>
                <w:szCs w:val="18"/>
                <w:lang w:val="en-US" w:eastAsia="ro-MD"/>
              </w:rPr>
              <w:t xml:space="preserve"> banca </w:t>
            </w:r>
            <w:proofErr w:type="gramStart"/>
            <w:r w:rsidRPr="00C4000F">
              <w:rPr>
                <w:sz w:val="18"/>
                <w:szCs w:val="18"/>
                <w:lang w:val="en-US" w:eastAsia="ro-MD"/>
              </w:rPr>
              <w:t>a</w:t>
            </w:r>
            <w:proofErr w:type="gramEnd"/>
            <w:r w:rsidRPr="00C4000F">
              <w:rPr>
                <w:sz w:val="18"/>
                <w:szCs w:val="18"/>
                <w:lang w:val="en-US" w:eastAsia="ro-MD"/>
              </w:rPr>
              <w:t xml:space="preserve"> </w:t>
            </w:r>
            <w:proofErr w:type="spellStart"/>
            <w:r w:rsidRPr="00C4000F">
              <w:rPr>
                <w:sz w:val="18"/>
                <w:szCs w:val="18"/>
                <w:lang w:val="en-US" w:eastAsia="ro-MD"/>
              </w:rPr>
              <w:t>efectuat</w:t>
            </w:r>
            <w:proofErr w:type="spellEnd"/>
            <w:r w:rsidRPr="00C4000F">
              <w:rPr>
                <w:sz w:val="18"/>
                <w:szCs w:val="18"/>
                <w:lang w:val="en-US" w:eastAsia="ro-MD"/>
              </w:rPr>
              <w:t xml:space="preserve"> plata </w:t>
            </w:r>
            <w:proofErr w:type="spellStart"/>
            <w:r w:rsidRPr="00C4000F">
              <w:rPr>
                <w:sz w:val="18"/>
                <w:szCs w:val="18"/>
                <w:lang w:val="en-US" w:eastAsia="ro-MD"/>
              </w:rPr>
              <w:t>ori</w:t>
            </w:r>
            <w:proofErr w:type="spellEnd"/>
            <w:r w:rsidRPr="00C4000F">
              <w:rPr>
                <w:sz w:val="18"/>
                <w:szCs w:val="18"/>
                <w:lang w:val="en-US" w:eastAsia="ro-MD"/>
              </w:rPr>
              <w:t xml:space="preserve"> </w:t>
            </w:r>
            <w:proofErr w:type="spellStart"/>
            <w:r w:rsidRPr="00C4000F">
              <w:rPr>
                <w:sz w:val="18"/>
                <w:szCs w:val="18"/>
                <w:lang w:val="en-US" w:eastAsia="ro-MD"/>
              </w:rPr>
              <w:t>livrarea</w:t>
            </w:r>
            <w:proofErr w:type="spellEnd"/>
            <w:r w:rsidRPr="00C4000F">
              <w:rPr>
                <w:sz w:val="18"/>
                <w:szCs w:val="18"/>
                <w:lang w:val="en-US" w:eastAsia="ro-MD"/>
              </w:rPr>
              <w:t>.</w:t>
            </w:r>
          </w:p>
          <w:p w14:paraId="64073D09" w14:textId="77777777" w:rsidR="00C4000F" w:rsidRDefault="00C4000F" w:rsidP="00C4000F">
            <w:pPr>
              <w:tabs>
                <w:tab w:val="left" w:pos="317"/>
              </w:tabs>
              <w:ind w:left="-43"/>
              <w:jc w:val="both"/>
              <w:rPr>
                <w:color w:val="000000"/>
                <w:sz w:val="18"/>
                <w:szCs w:val="18"/>
                <w:lang w:val="ro-MD"/>
              </w:rPr>
            </w:pPr>
          </w:p>
          <w:p w14:paraId="0BF8B281" w14:textId="3F2C9EE7" w:rsidR="00BB1BF4" w:rsidRPr="00BB1BF4" w:rsidRDefault="00BB1BF4" w:rsidP="00C4000F">
            <w:pPr>
              <w:tabs>
                <w:tab w:val="left" w:pos="317"/>
              </w:tabs>
              <w:ind w:left="-43"/>
              <w:jc w:val="both"/>
              <w:rPr>
                <w:b/>
                <w:bCs/>
                <w:color w:val="000000"/>
                <w:sz w:val="18"/>
                <w:szCs w:val="18"/>
                <w:lang w:val="ro-MD"/>
              </w:rPr>
            </w:pPr>
            <w:r w:rsidRPr="00BB1BF4">
              <w:rPr>
                <w:b/>
                <w:bCs/>
                <w:color w:val="000000"/>
                <w:sz w:val="18"/>
                <w:szCs w:val="18"/>
                <w:lang w:val="ro-MD"/>
              </w:rPr>
              <w:t xml:space="preserve">9. </w:t>
            </w:r>
          </w:p>
          <w:p w14:paraId="05C00F1C" w14:textId="75DABB6D" w:rsidR="00BB1BF4" w:rsidRDefault="00BB1BF4" w:rsidP="00C4000F">
            <w:pPr>
              <w:tabs>
                <w:tab w:val="left" w:pos="317"/>
              </w:tabs>
              <w:ind w:left="-43"/>
              <w:jc w:val="both"/>
              <w:rPr>
                <w:color w:val="000000"/>
                <w:sz w:val="18"/>
                <w:szCs w:val="18"/>
                <w:lang w:val="ro-MD"/>
              </w:rPr>
            </w:pPr>
            <w:r>
              <w:rPr>
                <w:color w:val="000000"/>
                <w:sz w:val="18"/>
                <w:szCs w:val="18"/>
                <w:lang w:val="ro-MD"/>
              </w:rPr>
              <w:t>......</w:t>
            </w:r>
          </w:p>
          <w:p w14:paraId="55970853" w14:textId="77777777" w:rsidR="00BB1BF4" w:rsidRDefault="00BB1BF4" w:rsidP="00C4000F">
            <w:pPr>
              <w:tabs>
                <w:tab w:val="left" w:pos="317"/>
              </w:tabs>
              <w:ind w:left="-43"/>
              <w:jc w:val="both"/>
              <w:rPr>
                <w:color w:val="000000"/>
                <w:sz w:val="18"/>
                <w:szCs w:val="18"/>
                <w:lang w:val="ro-MD"/>
              </w:rPr>
            </w:pPr>
          </w:p>
          <w:p w14:paraId="6239BD7C" w14:textId="77777777" w:rsidR="00BB1BF4" w:rsidRDefault="00BB1BF4" w:rsidP="00C4000F">
            <w:pPr>
              <w:tabs>
                <w:tab w:val="left" w:pos="317"/>
              </w:tabs>
              <w:ind w:left="-43"/>
              <w:jc w:val="both"/>
              <w:rPr>
                <w:color w:val="000000"/>
                <w:sz w:val="18"/>
                <w:szCs w:val="18"/>
                <w:lang w:val="ro-MD"/>
              </w:rPr>
            </w:pPr>
          </w:p>
          <w:p w14:paraId="6597F0EF" w14:textId="77777777" w:rsidR="00BB1BF4" w:rsidRDefault="00BB1BF4" w:rsidP="00C4000F">
            <w:pPr>
              <w:tabs>
                <w:tab w:val="left" w:pos="317"/>
              </w:tabs>
              <w:ind w:left="-43"/>
              <w:jc w:val="both"/>
              <w:rPr>
                <w:color w:val="000000"/>
                <w:sz w:val="18"/>
                <w:szCs w:val="18"/>
                <w:lang w:val="ro-MD"/>
              </w:rPr>
            </w:pPr>
          </w:p>
          <w:p w14:paraId="3B2446BA" w14:textId="77777777" w:rsidR="00C4000F" w:rsidRPr="00C4000F" w:rsidRDefault="00C4000F" w:rsidP="00C4000F">
            <w:pPr>
              <w:jc w:val="right"/>
              <w:rPr>
                <w:sz w:val="18"/>
                <w:szCs w:val="18"/>
                <w:lang w:val="en-US" w:eastAsia="ro-MD"/>
              </w:rPr>
            </w:pPr>
            <w:proofErr w:type="spellStart"/>
            <w:r w:rsidRPr="00C4000F">
              <w:rPr>
                <w:b/>
                <w:bCs/>
                <w:sz w:val="18"/>
                <w:szCs w:val="18"/>
                <w:lang w:val="en-US" w:eastAsia="ro-MD"/>
              </w:rPr>
              <w:t>Tabelul</w:t>
            </w:r>
            <w:proofErr w:type="spellEnd"/>
            <w:r w:rsidRPr="00C4000F">
              <w:rPr>
                <w:b/>
                <w:bCs/>
                <w:sz w:val="18"/>
                <w:szCs w:val="18"/>
                <w:lang w:val="en-US" w:eastAsia="ro-MD"/>
              </w:rPr>
              <w:t xml:space="preserve"> 2</w:t>
            </w:r>
          </w:p>
          <w:p w14:paraId="79BA1E31" w14:textId="77777777" w:rsidR="00C4000F" w:rsidRPr="00C4000F" w:rsidRDefault="00C4000F" w:rsidP="00C4000F">
            <w:pPr>
              <w:jc w:val="center"/>
              <w:rPr>
                <w:sz w:val="18"/>
                <w:szCs w:val="18"/>
                <w:lang w:val="en-US" w:eastAsia="ro-MD"/>
              </w:rPr>
            </w:pPr>
            <w:r w:rsidRPr="00C4000F">
              <w:rPr>
                <w:sz w:val="18"/>
                <w:szCs w:val="18"/>
                <w:lang w:val="en-US" w:eastAsia="ro-MD"/>
              </w:rPr>
              <w:t> </w:t>
            </w:r>
          </w:p>
          <w:p w14:paraId="742528B8" w14:textId="77777777" w:rsidR="00C4000F" w:rsidRPr="00C4000F" w:rsidRDefault="00C4000F" w:rsidP="00C4000F">
            <w:pPr>
              <w:jc w:val="center"/>
              <w:rPr>
                <w:sz w:val="18"/>
                <w:szCs w:val="18"/>
                <w:lang w:val="en-US" w:eastAsia="ro-MD"/>
              </w:rPr>
            </w:pPr>
            <w:proofErr w:type="spellStart"/>
            <w:r w:rsidRPr="00C4000F">
              <w:rPr>
                <w:b/>
                <w:bCs/>
                <w:sz w:val="18"/>
                <w:szCs w:val="18"/>
                <w:lang w:val="en-US" w:eastAsia="ro-MD"/>
              </w:rPr>
              <w:t>Tratamentul</w:t>
            </w:r>
            <w:proofErr w:type="spellEnd"/>
            <w:r w:rsidRPr="00C4000F">
              <w:rPr>
                <w:b/>
                <w:bCs/>
                <w:sz w:val="18"/>
                <w:szCs w:val="18"/>
                <w:lang w:val="en-US" w:eastAsia="ro-MD"/>
              </w:rPr>
              <w:t xml:space="preserve"> </w:t>
            </w:r>
            <w:proofErr w:type="spellStart"/>
            <w:r w:rsidRPr="00C4000F">
              <w:rPr>
                <w:b/>
                <w:bCs/>
                <w:sz w:val="18"/>
                <w:szCs w:val="18"/>
                <w:lang w:val="en-US" w:eastAsia="ro-MD"/>
              </w:rPr>
              <w:t>tranzacţiilor</w:t>
            </w:r>
            <w:proofErr w:type="spellEnd"/>
            <w:r w:rsidRPr="00C4000F">
              <w:rPr>
                <w:b/>
                <w:bCs/>
                <w:sz w:val="18"/>
                <w:szCs w:val="18"/>
                <w:lang w:val="en-US" w:eastAsia="ro-MD"/>
              </w:rPr>
              <w:t xml:space="preserve"> incomplete din</w:t>
            </w:r>
          </w:p>
          <w:p w14:paraId="509822D7" w14:textId="77777777" w:rsidR="00C4000F" w:rsidRPr="00C4000F" w:rsidRDefault="00C4000F" w:rsidP="00C4000F">
            <w:pPr>
              <w:jc w:val="center"/>
              <w:rPr>
                <w:sz w:val="18"/>
                <w:szCs w:val="18"/>
                <w:lang w:val="en-US" w:eastAsia="ro-MD"/>
              </w:rPr>
            </w:pPr>
            <w:proofErr w:type="spellStart"/>
            <w:r w:rsidRPr="00C4000F">
              <w:rPr>
                <w:b/>
                <w:bCs/>
                <w:sz w:val="18"/>
                <w:szCs w:val="18"/>
                <w:lang w:val="en-US" w:eastAsia="ro-MD"/>
              </w:rPr>
              <w:t>punctul</w:t>
            </w:r>
            <w:proofErr w:type="spellEnd"/>
            <w:r w:rsidRPr="00C4000F">
              <w:rPr>
                <w:b/>
                <w:bCs/>
                <w:sz w:val="18"/>
                <w:szCs w:val="18"/>
                <w:lang w:val="en-US" w:eastAsia="ro-MD"/>
              </w:rPr>
              <w:t xml:space="preserve"> de </w:t>
            </w:r>
            <w:proofErr w:type="spellStart"/>
            <w:r w:rsidRPr="00C4000F">
              <w:rPr>
                <w:b/>
                <w:bCs/>
                <w:sz w:val="18"/>
                <w:szCs w:val="18"/>
                <w:lang w:val="en-US" w:eastAsia="ro-MD"/>
              </w:rPr>
              <w:t>vedere</w:t>
            </w:r>
            <w:proofErr w:type="spellEnd"/>
            <w:r w:rsidRPr="00C4000F">
              <w:rPr>
                <w:b/>
                <w:bCs/>
                <w:sz w:val="18"/>
                <w:szCs w:val="18"/>
                <w:lang w:val="en-US" w:eastAsia="ro-MD"/>
              </w:rPr>
              <w:t xml:space="preserve"> al </w:t>
            </w:r>
            <w:proofErr w:type="spellStart"/>
            <w:r w:rsidRPr="00C4000F">
              <w:rPr>
                <w:b/>
                <w:bCs/>
                <w:sz w:val="18"/>
                <w:szCs w:val="18"/>
                <w:lang w:val="en-US" w:eastAsia="ro-MD"/>
              </w:rPr>
              <w:t>cerinţelor</w:t>
            </w:r>
            <w:proofErr w:type="spellEnd"/>
            <w:r w:rsidRPr="00C4000F">
              <w:rPr>
                <w:b/>
                <w:bCs/>
                <w:sz w:val="18"/>
                <w:szCs w:val="18"/>
                <w:lang w:val="en-US" w:eastAsia="ro-MD"/>
              </w:rPr>
              <w:t xml:space="preserve"> de capital</w:t>
            </w:r>
          </w:p>
          <w:p w14:paraId="5FC40BE6" w14:textId="77777777" w:rsidR="00C4000F" w:rsidRDefault="00C4000F" w:rsidP="00C4000F">
            <w:pPr>
              <w:tabs>
                <w:tab w:val="left" w:pos="317"/>
              </w:tabs>
              <w:ind w:left="-43"/>
              <w:jc w:val="both"/>
              <w:rPr>
                <w:lang w:val="en-US" w:eastAsia="ro-MD"/>
              </w:rPr>
            </w:pPr>
            <w:r w:rsidRPr="00C4000F">
              <w:rPr>
                <w:lang w:val="en-US" w:eastAsia="ro-MD"/>
              </w:rPr>
              <w:t> </w:t>
            </w:r>
          </w:p>
          <w:p w14:paraId="1C9EB2AE" w14:textId="77777777" w:rsidR="00C4000F" w:rsidRDefault="00C4000F" w:rsidP="00C4000F">
            <w:pPr>
              <w:tabs>
                <w:tab w:val="left" w:pos="317"/>
              </w:tabs>
              <w:ind w:left="-43"/>
              <w:jc w:val="both"/>
              <w:rPr>
                <w:color w:val="000000"/>
                <w:sz w:val="18"/>
                <w:szCs w:val="18"/>
                <w:lang w:val="en-US"/>
              </w:rPr>
            </w:pPr>
          </w:p>
          <w:tbl>
            <w:tblPr>
              <w:tblW w:w="31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46"/>
              <w:gridCol w:w="730"/>
              <w:gridCol w:w="988"/>
              <w:gridCol w:w="900"/>
            </w:tblGrid>
            <w:tr w:rsidR="00C4000F" w:rsidRPr="00AD6D61" w14:paraId="21CA9F59" w14:textId="77777777" w:rsidTr="00C4000F">
              <w:trPr>
                <w:trHeight w:val="292"/>
              </w:trPr>
              <w:tc>
                <w:tcPr>
                  <w:tcW w:w="5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FD6EA4" w14:textId="77777777" w:rsidR="00C4000F" w:rsidRPr="00067C06" w:rsidRDefault="00C4000F" w:rsidP="00C4000F">
                  <w:pPr>
                    <w:spacing w:before="60" w:after="60"/>
                    <w:jc w:val="both"/>
                    <w:rPr>
                      <w:b/>
                      <w:bCs/>
                      <w:color w:val="000000"/>
                      <w:sz w:val="16"/>
                      <w:szCs w:val="16"/>
                      <w:lang w:val="ro-MD" w:eastAsia="ro-MD"/>
                    </w:rPr>
                  </w:pPr>
                  <w:r w:rsidRPr="00067C06">
                    <w:rPr>
                      <w:b/>
                      <w:bCs/>
                      <w:color w:val="000000"/>
                      <w:sz w:val="16"/>
                      <w:szCs w:val="16"/>
                      <w:lang w:val="ro-MD" w:eastAsia="ro-MD"/>
                    </w:rPr>
                    <w:t>Coloana 1</w:t>
                  </w:r>
                </w:p>
              </w:tc>
              <w:tc>
                <w:tcPr>
                  <w:tcW w:w="7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8A49CC" w14:textId="77777777" w:rsidR="00C4000F" w:rsidRPr="00067C06" w:rsidRDefault="00C4000F" w:rsidP="00C4000F">
                  <w:pPr>
                    <w:spacing w:before="60" w:after="60"/>
                    <w:jc w:val="both"/>
                    <w:rPr>
                      <w:b/>
                      <w:bCs/>
                      <w:color w:val="000000"/>
                      <w:sz w:val="16"/>
                      <w:szCs w:val="16"/>
                      <w:lang w:val="ro-MD" w:eastAsia="ro-MD"/>
                    </w:rPr>
                  </w:pPr>
                  <w:r w:rsidRPr="00067C06">
                    <w:rPr>
                      <w:b/>
                      <w:bCs/>
                      <w:color w:val="000000"/>
                      <w:sz w:val="16"/>
                      <w:szCs w:val="16"/>
                      <w:lang w:val="ro-MD" w:eastAsia="ro-MD"/>
                    </w:rPr>
                    <w:t>Coloana 2</w:t>
                  </w:r>
                </w:p>
              </w:tc>
              <w:tc>
                <w:tcPr>
                  <w:tcW w:w="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3DBDC7" w14:textId="77777777" w:rsidR="00C4000F" w:rsidRPr="00067C06" w:rsidRDefault="00C4000F" w:rsidP="00C4000F">
                  <w:pPr>
                    <w:spacing w:before="60" w:after="60"/>
                    <w:jc w:val="both"/>
                    <w:rPr>
                      <w:b/>
                      <w:bCs/>
                      <w:color w:val="000000"/>
                      <w:sz w:val="16"/>
                      <w:szCs w:val="16"/>
                      <w:lang w:val="ro-MD" w:eastAsia="ro-MD"/>
                    </w:rPr>
                  </w:pPr>
                  <w:r w:rsidRPr="00067C06">
                    <w:rPr>
                      <w:b/>
                      <w:bCs/>
                      <w:color w:val="000000"/>
                      <w:sz w:val="16"/>
                      <w:szCs w:val="16"/>
                      <w:lang w:val="ro-MD" w:eastAsia="ro-MD"/>
                    </w:rPr>
                    <w:t>Coloana 3</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A62448" w14:textId="77777777" w:rsidR="00C4000F" w:rsidRPr="00067C06" w:rsidRDefault="00C4000F" w:rsidP="00C4000F">
                  <w:pPr>
                    <w:spacing w:before="60" w:after="60"/>
                    <w:jc w:val="both"/>
                    <w:rPr>
                      <w:b/>
                      <w:bCs/>
                      <w:color w:val="000000"/>
                      <w:sz w:val="16"/>
                      <w:szCs w:val="16"/>
                      <w:lang w:val="ro-MD" w:eastAsia="ro-MD"/>
                    </w:rPr>
                  </w:pPr>
                  <w:r w:rsidRPr="00067C06">
                    <w:rPr>
                      <w:b/>
                      <w:bCs/>
                      <w:color w:val="000000"/>
                      <w:sz w:val="16"/>
                      <w:szCs w:val="16"/>
                      <w:lang w:val="ro-MD" w:eastAsia="ro-MD"/>
                    </w:rPr>
                    <w:t>Coloana 4</w:t>
                  </w:r>
                </w:p>
              </w:tc>
            </w:tr>
            <w:tr w:rsidR="00C4000F" w:rsidRPr="006D6A9C" w14:paraId="2936442F" w14:textId="77777777" w:rsidTr="00C4000F">
              <w:trPr>
                <w:trHeight w:val="653"/>
              </w:trPr>
              <w:tc>
                <w:tcPr>
                  <w:tcW w:w="5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4FE4DB" w14:textId="77777777" w:rsidR="00C4000F" w:rsidRPr="00067C06" w:rsidRDefault="00C4000F" w:rsidP="00C4000F">
                  <w:pPr>
                    <w:spacing w:before="60" w:after="60"/>
                    <w:rPr>
                      <w:color w:val="000000"/>
                      <w:sz w:val="16"/>
                      <w:szCs w:val="16"/>
                      <w:lang w:val="ro-MD" w:eastAsia="ro-MD"/>
                    </w:rPr>
                  </w:pPr>
                  <w:r w:rsidRPr="00067C06">
                    <w:rPr>
                      <w:color w:val="000000"/>
                      <w:sz w:val="16"/>
                      <w:szCs w:val="16"/>
                      <w:lang w:val="ro-MD" w:eastAsia="ro-MD"/>
                    </w:rPr>
                    <w:t>Tipul tranzacției</w:t>
                  </w:r>
                </w:p>
              </w:tc>
              <w:tc>
                <w:tcPr>
                  <w:tcW w:w="7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0BA95C" w14:textId="77777777" w:rsidR="00C4000F" w:rsidRPr="00067C06" w:rsidRDefault="00C4000F" w:rsidP="00C4000F">
                  <w:pPr>
                    <w:spacing w:before="60" w:after="60"/>
                    <w:rPr>
                      <w:color w:val="000000"/>
                      <w:sz w:val="16"/>
                      <w:szCs w:val="16"/>
                      <w:lang w:val="ro-MD" w:eastAsia="ro-MD"/>
                    </w:rPr>
                  </w:pPr>
                  <w:r w:rsidRPr="00067C06">
                    <w:rPr>
                      <w:color w:val="000000"/>
                      <w:sz w:val="16"/>
                      <w:szCs w:val="16"/>
                      <w:lang w:val="ro-MD" w:eastAsia="ro-MD"/>
                    </w:rPr>
                    <w:t>Până la prima plată contractuală sau primul segment al livrării</w:t>
                  </w:r>
                </w:p>
              </w:tc>
              <w:tc>
                <w:tcPr>
                  <w:tcW w:w="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6CF560" w14:textId="77777777" w:rsidR="00C4000F" w:rsidRPr="00067C06" w:rsidRDefault="00C4000F" w:rsidP="00C4000F">
                  <w:pPr>
                    <w:spacing w:before="60" w:after="60"/>
                    <w:rPr>
                      <w:color w:val="000000"/>
                      <w:sz w:val="16"/>
                      <w:szCs w:val="16"/>
                      <w:lang w:val="ro-MD" w:eastAsia="ro-MD"/>
                    </w:rPr>
                  </w:pPr>
                  <w:r w:rsidRPr="00067C06">
                    <w:rPr>
                      <w:color w:val="000000"/>
                      <w:sz w:val="16"/>
                      <w:szCs w:val="16"/>
                      <w:lang w:val="ro-MD" w:eastAsia="ro-MD"/>
                    </w:rPr>
                    <w:t>De la prima plată contractuală sau primul segment al livrării și până la patru zile după a doua plată contractuală sau al doilea segment al livrării</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0E649B" w14:textId="77777777" w:rsidR="00C4000F" w:rsidRPr="00067C06" w:rsidRDefault="00C4000F" w:rsidP="00C4000F">
                  <w:pPr>
                    <w:spacing w:before="60" w:after="60"/>
                    <w:rPr>
                      <w:color w:val="000000"/>
                      <w:sz w:val="16"/>
                      <w:szCs w:val="16"/>
                      <w:lang w:val="ro-MD" w:eastAsia="ro-MD"/>
                    </w:rPr>
                  </w:pPr>
                  <w:r w:rsidRPr="00067C06">
                    <w:rPr>
                      <w:color w:val="000000"/>
                      <w:sz w:val="16"/>
                      <w:szCs w:val="16"/>
                      <w:lang w:val="ro-MD" w:eastAsia="ro-MD"/>
                    </w:rPr>
                    <w:t>De la 5 zile lucrătoare după a doua plată contractuală sau al doilea segment al livrării și până la stingerea tranzacției</w:t>
                  </w:r>
                </w:p>
              </w:tc>
            </w:tr>
            <w:tr w:rsidR="00C4000F" w:rsidRPr="006D6A9C" w14:paraId="294CD518" w14:textId="77777777" w:rsidTr="00C4000F">
              <w:trPr>
                <w:trHeight w:val="215"/>
              </w:trPr>
              <w:tc>
                <w:tcPr>
                  <w:tcW w:w="5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E2898E" w14:textId="77777777" w:rsidR="00C4000F" w:rsidRPr="00067C06" w:rsidRDefault="00C4000F" w:rsidP="00C4000F">
                  <w:pPr>
                    <w:spacing w:before="60" w:after="60"/>
                    <w:rPr>
                      <w:color w:val="000000"/>
                      <w:sz w:val="16"/>
                      <w:szCs w:val="16"/>
                      <w:lang w:val="ro-MD" w:eastAsia="ro-MD"/>
                    </w:rPr>
                  </w:pPr>
                  <w:r w:rsidRPr="00067C06">
                    <w:rPr>
                      <w:color w:val="000000"/>
                      <w:sz w:val="16"/>
                      <w:szCs w:val="16"/>
                      <w:lang w:val="ro-MD" w:eastAsia="ro-MD"/>
                    </w:rPr>
                    <w:lastRenderedPageBreak/>
                    <w:t>Tranzacție incompletă</w:t>
                  </w:r>
                </w:p>
              </w:tc>
              <w:tc>
                <w:tcPr>
                  <w:tcW w:w="7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C3D532" w14:textId="77777777" w:rsidR="00C4000F" w:rsidRPr="00067C06" w:rsidRDefault="00C4000F" w:rsidP="00C4000F">
                  <w:pPr>
                    <w:spacing w:before="60" w:after="60"/>
                    <w:rPr>
                      <w:color w:val="000000"/>
                      <w:sz w:val="16"/>
                      <w:szCs w:val="16"/>
                      <w:lang w:val="ro-MD" w:eastAsia="ro-MD"/>
                    </w:rPr>
                  </w:pPr>
                  <w:r w:rsidRPr="00067C06">
                    <w:rPr>
                      <w:color w:val="000000"/>
                      <w:sz w:val="16"/>
                      <w:szCs w:val="16"/>
                      <w:lang w:val="ro-MD" w:eastAsia="ro-MD"/>
                    </w:rPr>
                    <w:t>Nicio cerință de capital</w:t>
                  </w:r>
                </w:p>
              </w:tc>
              <w:tc>
                <w:tcPr>
                  <w:tcW w:w="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D69304" w14:textId="77777777" w:rsidR="00C4000F" w:rsidRPr="00067C06" w:rsidRDefault="00C4000F" w:rsidP="00C4000F">
                  <w:pPr>
                    <w:spacing w:before="60" w:after="60"/>
                    <w:rPr>
                      <w:color w:val="000000"/>
                      <w:sz w:val="16"/>
                      <w:szCs w:val="16"/>
                      <w:lang w:val="ro-MD" w:eastAsia="ro-MD"/>
                    </w:rPr>
                  </w:pPr>
                  <w:r w:rsidRPr="00067C06">
                    <w:rPr>
                      <w:color w:val="000000"/>
                      <w:sz w:val="16"/>
                      <w:szCs w:val="16"/>
                      <w:lang w:val="ro-MD" w:eastAsia="ro-MD"/>
                    </w:rPr>
                    <w:t>Se tratează ca o expunere</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D2CE9A" w14:textId="3B0D5441" w:rsidR="00C4000F" w:rsidRPr="00067C06" w:rsidRDefault="00C4000F" w:rsidP="00C4000F">
                  <w:pPr>
                    <w:spacing w:before="60" w:after="60"/>
                    <w:rPr>
                      <w:color w:val="000000"/>
                      <w:sz w:val="16"/>
                      <w:szCs w:val="16"/>
                      <w:lang w:val="ro-MD" w:eastAsia="ro-MD"/>
                    </w:rPr>
                  </w:pPr>
                  <w:r w:rsidRPr="00067C06">
                    <w:rPr>
                      <w:color w:val="000000"/>
                      <w:sz w:val="16"/>
                      <w:szCs w:val="16"/>
                      <w:lang w:val="ro-MD" w:eastAsia="ro-MD"/>
                    </w:rPr>
                    <w:t>Se tratează ca o expunere ponderată la risc cu 1 </w:t>
                  </w:r>
                  <w:r w:rsidR="00E43247">
                    <w:rPr>
                      <w:color w:val="000000"/>
                      <w:sz w:val="16"/>
                      <w:szCs w:val="16"/>
                      <w:lang w:val="ro-MD" w:eastAsia="ro-MD"/>
                    </w:rPr>
                    <w:t>00</w:t>
                  </w:r>
                  <w:r w:rsidRPr="00067C06">
                    <w:rPr>
                      <w:color w:val="000000"/>
                      <w:sz w:val="16"/>
                      <w:szCs w:val="16"/>
                      <w:lang w:val="ro-MD" w:eastAsia="ro-MD"/>
                    </w:rPr>
                    <w:t>0  %</w:t>
                  </w:r>
                </w:p>
              </w:tc>
            </w:tr>
          </w:tbl>
          <w:p w14:paraId="62F9F5E1" w14:textId="77777777" w:rsidR="00C4000F" w:rsidRDefault="00C4000F" w:rsidP="00C4000F">
            <w:pPr>
              <w:tabs>
                <w:tab w:val="left" w:pos="317"/>
              </w:tabs>
              <w:ind w:left="-43"/>
              <w:jc w:val="both"/>
              <w:rPr>
                <w:color w:val="000000"/>
                <w:sz w:val="18"/>
                <w:szCs w:val="18"/>
                <w:lang w:val="en-US"/>
              </w:rPr>
            </w:pPr>
          </w:p>
          <w:p w14:paraId="6F7F6BE4" w14:textId="77777777" w:rsidR="00C4000F" w:rsidRDefault="00C4000F" w:rsidP="00C4000F">
            <w:pPr>
              <w:tabs>
                <w:tab w:val="left" w:pos="317"/>
              </w:tabs>
              <w:ind w:left="-43"/>
              <w:jc w:val="both"/>
              <w:rPr>
                <w:color w:val="000000"/>
                <w:sz w:val="18"/>
                <w:szCs w:val="18"/>
                <w:lang w:val="en-US"/>
              </w:rPr>
            </w:pPr>
          </w:p>
          <w:p w14:paraId="486834BB" w14:textId="3D09CAF9" w:rsidR="00C4000F" w:rsidRDefault="00E43247" w:rsidP="00C4000F">
            <w:pPr>
              <w:tabs>
                <w:tab w:val="left" w:pos="317"/>
              </w:tabs>
              <w:ind w:left="-43"/>
              <w:jc w:val="both"/>
              <w:rPr>
                <w:color w:val="000000"/>
                <w:sz w:val="18"/>
                <w:szCs w:val="18"/>
                <w:lang w:val="en-US"/>
              </w:rPr>
            </w:pPr>
            <w:r w:rsidRPr="00E43247">
              <w:rPr>
                <w:b/>
                <w:bCs/>
                <w:i/>
                <w:iCs/>
                <w:color w:val="000000"/>
                <w:sz w:val="18"/>
                <w:szCs w:val="18"/>
                <w:lang w:val="ro-RO"/>
              </w:rPr>
              <w:t xml:space="preserve">Prevederi existente - </w:t>
            </w:r>
            <w:r w:rsidRPr="00E43247">
              <w:rPr>
                <w:i/>
                <w:iCs/>
                <w:color w:val="000000"/>
                <w:sz w:val="18"/>
                <w:szCs w:val="18"/>
                <w:lang w:val="ro-RO"/>
              </w:rPr>
              <w:t>Regulamentul nr.115/2018</w:t>
            </w:r>
          </w:p>
          <w:p w14:paraId="22529C91" w14:textId="777D5FA7" w:rsidR="00C4000F" w:rsidRPr="00C4000F" w:rsidRDefault="00C4000F" w:rsidP="00C4000F">
            <w:pPr>
              <w:tabs>
                <w:tab w:val="left" w:pos="317"/>
              </w:tabs>
              <w:ind w:left="-43"/>
              <w:jc w:val="both"/>
              <w:rPr>
                <w:color w:val="000000"/>
                <w:sz w:val="18"/>
                <w:szCs w:val="18"/>
                <w:lang w:val="en-US"/>
              </w:rPr>
            </w:pPr>
          </w:p>
        </w:tc>
        <w:tc>
          <w:tcPr>
            <w:tcW w:w="1229" w:type="dxa"/>
          </w:tcPr>
          <w:p w14:paraId="564D3BDE" w14:textId="7E3E056C" w:rsidR="00632557" w:rsidRPr="003F5B3C" w:rsidRDefault="005037C8" w:rsidP="00B93C1C">
            <w:pPr>
              <w:jc w:val="both"/>
              <w:rPr>
                <w:color w:val="000000"/>
                <w:sz w:val="18"/>
                <w:szCs w:val="18"/>
                <w:lang w:val="ro-MD"/>
              </w:rPr>
            </w:pPr>
            <w:r>
              <w:rPr>
                <w:color w:val="000000"/>
                <w:sz w:val="18"/>
                <w:szCs w:val="18"/>
                <w:lang w:val="ro-MD"/>
              </w:rPr>
              <w:lastRenderedPageBreak/>
              <w:t>Parțial compatibil.</w:t>
            </w:r>
          </w:p>
        </w:tc>
        <w:tc>
          <w:tcPr>
            <w:tcW w:w="5292" w:type="dxa"/>
            <w:tcBorders>
              <w:top w:val="single" w:sz="4" w:space="0" w:color="auto"/>
              <w:bottom w:val="single" w:sz="4" w:space="0" w:color="auto"/>
            </w:tcBorders>
          </w:tcPr>
          <w:p w14:paraId="7C5EC6E7" w14:textId="597D3ECF" w:rsidR="00632557" w:rsidRDefault="009E0ACF" w:rsidP="00B93C1C">
            <w:pPr>
              <w:jc w:val="both"/>
              <w:rPr>
                <w:bCs/>
                <w:sz w:val="18"/>
                <w:szCs w:val="18"/>
                <w:lang w:val="en-US"/>
              </w:rPr>
            </w:pPr>
            <w:proofErr w:type="spellStart"/>
            <w:r>
              <w:rPr>
                <w:bCs/>
                <w:sz w:val="18"/>
                <w:szCs w:val="18"/>
                <w:lang w:val="en-US"/>
              </w:rPr>
              <w:t>Ponderea</w:t>
            </w:r>
            <w:proofErr w:type="spellEnd"/>
            <w:r>
              <w:rPr>
                <w:bCs/>
                <w:sz w:val="18"/>
                <w:szCs w:val="18"/>
                <w:lang w:val="en-US"/>
              </w:rPr>
              <w:t xml:space="preserve"> de </w:t>
            </w:r>
            <w:r w:rsidR="005037C8" w:rsidRPr="005037C8">
              <w:rPr>
                <w:bCs/>
                <w:sz w:val="18"/>
                <w:szCs w:val="18"/>
                <w:lang w:val="en-US"/>
              </w:rPr>
              <w:t>125</w:t>
            </w:r>
            <w:r>
              <w:rPr>
                <w:bCs/>
                <w:sz w:val="18"/>
                <w:szCs w:val="18"/>
                <w:lang w:val="en-US"/>
              </w:rPr>
              <w:t>0 %</w:t>
            </w:r>
            <w:r w:rsidR="005037C8" w:rsidRPr="005037C8">
              <w:rPr>
                <w:bCs/>
                <w:sz w:val="18"/>
                <w:szCs w:val="18"/>
                <w:lang w:val="en-US"/>
              </w:rPr>
              <w:t xml:space="preserve">, </w:t>
            </w:r>
            <w:proofErr w:type="spellStart"/>
            <w:r w:rsidR="005037C8" w:rsidRPr="005037C8">
              <w:rPr>
                <w:bCs/>
                <w:sz w:val="18"/>
                <w:szCs w:val="18"/>
                <w:lang w:val="en-US"/>
              </w:rPr>
              <w:t>specificat</w:t>
            </w:r>
            <w:proofErr w:type="spellEnd"/>
            <w:r w:rsidR="005037C8" w:rsidRPr="005037C8">
              <w:rPr>
                <w:bCs/>
                <w:sz w:val="18"/>
                <w:szCs w:val="18"/>
                <w:lang w:val="en-US"/>
              </w:rPr>
              <w:t xml:space="preserve"> </w:t>
            </w:r>
            <w:proofErr w:type="spellStart"/>
            <w:r w:rsidR="005037C8" w:rsidRPr="005037C8">
              <w:rPr>
                <w:bCs/>
                <w:sz w:val="18"/>
                <w:szCs w:val="18"/>
                <w:lang w:val="en-US"/>
              </w:rPr>
              <w:t>în</w:t>
            </w:r>
            <w:proofErr w:type="spellEnd"/>
            <w:r w:rsidR="005037C8" w:rsidRPr="005037C8">
              <w:rPr>
                <w:bCs/>
                <w:sz w:val="18"/>
                <w:szCs w:val="18"/>
                <w:lang w:val="en-US"/>
              </w:rPr>
              <w:t xml:space="preserve"> CRR, cu care se </w:t>
            </w:r>
            <w:proofErr w:type="spellStart"/>
            <w:r w:rsidR="005037C8" w:rsidRPr="005037C8">
              <w:rPr>
                <w:bCs/>
                <w:sz w:val="18"/>
                <w:szCs w:val="18"/>
                <w:lang w:val="en-US"/>
              </w:rPr>
              <w:t>multiplică</w:t>
            </w:r>
            <w:proofErr w:type="spellEnd"/>
            <w:r w:rsidR="005037C8" w:rsidRPr="005037C8">
              <w:rPr>
                <w:bCs/>
                <w:sz w:val="18"/>
                <w:szCs w:val="18"/>
                <w:lang w:val="en-US"/>
              </w:rPr>
              <w:t xml:space="preserve"> </w:t>
            </w:r>
            <w:proofErr w:type="spellStart"/>
            <w:r w:rsidR="005037C8" w:rsidRPr="005037C8">
              <w:rPr>
                <w:bCs/>
                <w:sz w:val="18"/>
                <w:szCs w:val="18"/>
                <w:lang w:val="en-US"/>
              </w:rPr>
              <w:t>cerințele</w:t>
            </w:r>
            <w:proofErr w:type="spellEnd"/>
            <w:r w:rsidR="005037C8" w:rsidRPr="005037C8">
              <w:rPr>
                <w:bCs/>
                <w:sz w:val="18"/>
                <w:szCs w:val="18"/>
                <w:lang w:val="en-US"/>
              </w:rPr>
              <w:t xml:space="preserve"> de </w:t>
            </w:r>
            <w:proofErr w:type="spellStart"/>
            <w:r w:rsidR="005037C8" w:rsidRPr="005037C8">
              <w:rPr>
                <w:bCs/>
                <w:sz w:val="18"/>
                <w:szCs w:val="18"/>
                <w:lang w:val="en-US"/>
              </w:rPr>
              <w:t>fonduri</w:t>
            </w:r>
            <w:proofErr w:type="spellEnd"/>
            <w:r w:rsidR="005037C8" w:rsidRPr="005037C8">
              <w:rPr>
                <w:bCs/>
                <w:sz w:val="18"/>
                <w:szCs w:val="18"/>
                <w:lang w:val="en-US"/>
              </w:rPr>
              <w:t xml:space="preserve"> </w:t>
            </w:r>
            <w:proofErr w:type="spellStart"/>
            <w:r w:rsidR="005037C8" w:rsidRPr="005037C8">
              <w:rPr>
                <w:bCs/>
                <w:sz w:val="18"/>
                <w:szCs w:val="18"/>
                <w:lang w:val="en-US"/>
              </w:rPr>
              <w:t>proprii</w:t>
            </w:r>
            <w:proofErr w:type="spellEnd"/>
            <w:r w:rsidR="005037C8" w:rsidRPr="005037C8">
              <w:rPr>
                <w:bCs/>
                <w:sz w:val="18"/>
                <w:szCs w:val="18"/>
                <w:lang w:val="en-US"/>
              </w:rPr>
              <w:t xml:space="preserve"> </w:t>
            </w:r>
            <w:proofErr w:type="spellStart"/>
            <w:r w:rsidR="005037C8" w:rsidRPr="005037C8">
              <w:rPr>
                <w:bCs/>
                <w:sz w:val="18"/>
                <w:szCs w:val="18"/>
                <w:lang w:val="en-US"/>
              </w:rPr>
              <w:t>reprezintă</w:t>
            </w:r>
            <w:proofErr w:type="spellEnd"/>
            <w:r w:rsidR="005037C8" w:rsidRPr="005037C8">
              <w:rPr>
                <w:bCs/>
                <w:sz w:val="18"/>
                <w:szCs w:val="18"/>
                <w:lang w:val="en-US"/>
              </w:rPr>
              <w:t xml:space="preserve"> </w:t>
            </w:r>
            <w:proofErr w:type="spellStart"/>
            <w:r w:rsidR="005037C8" w:rsidRPr="005037C8">
              <w:rPr>
                <w:bCs/>
                <w:sz w:val="18"/>
                <w:szCs w:val="18"/>
                <w:lang w:val="en-US"/>
              </w:rPr>
              <w:t>proporția</w:t>
            </w:r>
            <w:proofErr w:type="spellEnd"/>
            <w:r w:rsidR="005037C8" w:rsidRPr="005037C8">
              <w:rPr>
                <w:bCs/>
                <w:sz w:val="18"/>
                <w:szCs w:val="18"/>
                <w:lang w:val="en-US"/>
              </w:rPr>
              <w:t xml:space="preserve"> </w:t>
            </w:r>
            <w:proofErr w:type="spellStart"/>
            <w:r w:rsidR="005037C8" w:rsidRPr="005037C8">
              <w:rPr>
                <w:bCs/>
                <w:sz w:val="18"/>
                <w:szCs w:val="18"/>
                <w:lang w:val="en-US"/>
              </w:rPr>
              <w:t>inversă</w:t>
            </w:r>
            <w:proofErr w:type="spellEnd"/>
            <w:r w:rsidR="005037C8" w:rsidRPr="005037C8">
              <w:rPr>
                <w:bCs/>
                <w:sz w:val="18"/>
                <w:szCs w:val="18"/>
                <w:lang w:val="en-US"/>
              </w:rPr>
              <w:t xml:space="preserve"> de la </w:t>
            </w:r>
            <w:proofErr w:type="spellStart"/>
            <w:r w:rsidR="005037C8" w:rsidRPr="005037C8">
              <w:rPr>
                <w:bCs/>
                <w:sz w:val="18"/>
                <w:szCs w:val="18"/>
                <w:lang w:val="en-US"/>
              </w:rPr>
              <w:t>cerința</w:t>
            </w:r>
            <w:proofErr w:type="spellEnd"/>
            <w:r w:rsidR="005037C8" w:rsidRPr="005037C8">
              <w:rPr>
                <w:bCs/>
                <w:sz w:val="18"/>
                <w:szCs w:val="18"/>
                <w:lang w:val="en-US"/>
              </w:rPr>
              <w:t xml:space="preserve"> de 8%, </w:t>
            </w:r>
            <w:proofErr w:type="spellStart"/>
            <w:r w:rsidR="005037C8" w:rsidRPr="005037C8">
              <w:rPr>
                <w:bCs/>
                <w:sz w:val="18"/>
                <w:szCs w:val="18"/>
                <w:lang w:val="en-US"/>
              </w:rPr>
              <w:t>stabilită</w:t>
            </w:r>
            <w:proofErr w:type="spellEnd"/>
            <w:r w:rsidR="005037C8" w:rsidRPr="005037C8">
              <w:rPr>
                <w:bCs/>
                <w:sz w:val="18"/>
                <w:szCs w:val="18"/>
                <w:lang w:val="en-US"/>
              </w:rPr>
              <w:t xml:space="preserve"> </w:t>
            </w:r>
            <w:proofErr w:type="spellStart"/>
            <w:r w:rsidR="005037C8" w:rsidRPr="005037C8">
              <w:rPr>
                <w:bCs/>
                <w:sz w:val="18"/>
                <w:szCs w:val="18"/>
                <w:lang w:val="en-US"/>
              </w:rPr>
              <w:t>în</w:t>
            </w:r>
            <w:proofErr w:type="spellEnd"/>
            <w:r w:rsidR="005037C8" w:rsidRPr="005037C8">
              <w:rPr>
                <w:bCs/>
                <w:sz w:val="18"/>
                <w:szCs w:val="18"/>
                <w:lang w:val="en-US"/>
              </w:rPr>
              <w:t xml:space="preserve"> </w:t>
            </w:r>
            <w:proofErr w:type="spellStart"/>
            <w:r w:rsidR="005037C8" w:rsidRPr="005037C8">
              <w:rPr>
                <w:bCs/>
                <w:sz w:val="18"/>
                <w:szCs w:val="18"/>
                <w:lang w:val="en-US"/>
              </w:rPr>
              <w:t>același</w:t>
            </w:r>
            <w:proofErr w:type="spellEnd"/>
            <w:r w:rsidR="005037C8" w:rsidRPr="005037C8">
              <w:rPr>
                <w:bCs/>
                <w:sz w:val="18"/>
                <w:szCs w:val="18"/>
                <w:lang w:val="en-US"/>
              </w:rPr>
              <w:t xml:space="preserve"> document. </w:t>
            </w:r>
            <w:proofErr w:type="spellStart"/>
            <w:r w:rsidR="005037C8" w:rsidRPr="005037C8">
              <w:rPr>
                <w:bCs/>
                <w:sz w:val="18"/>
                <w:szCs w:val="18"/>
                <w:lang w:val="en-US"/>
              </w:rPr>
              <w:t>Având</w:t>
            </w:r>
            <w:proofErr w:type="spellEnd"/>
            <w:r w:rsidR="005037C8" w:rsidRPr="005037C8">
              <w:rPr>
                <w:bCs/>
                <w:sz w:val="18"/>
                <w:szCs w:val="18"/>
                <w:lang w:val="en-US"/>
              </w:rPr>
              <w:t xml:space="preserve"> </w:t>
            </w:r>
            <w:proofErr w:type="spellStart"/>
            <w:r w:rsidR="005037C8" w:rsidRPr="005037C8">
              <w:rPr>
                <w:bCs/>
                <w:sz w:val="18"/>
                <w:szCs w:val="18"/>
                <w:lang w:val="en-US"/>
              </w:rPr>
              <w:t>în</w:t>
            </w:r>
            <w:proofErr w:type="spellEnd"/>
            <w:r w:rsidR="005037C8" w:rsidRPr="005037C8">
              <w:rPr>
                <w:bCs/>
                <w:sz w:val="18"/>
                <w:szCs w:val="18"/>
                <w:lang w:val="en-US"/>
              </w:rPr>
              <w:t xml:space="preserve"> </w:t>
            </w:r>
            <w:proofErr w:type="spellStart"/>
            <w:r w:rsidR="005037C8" w:rsidRPr="005037C8">
              <w:rPr>
                <w:bCs/>
                <w:sz w:val="18"/>
                <w:szCs w:val="18"/>
                <w:lang w:val="en-US"/>
              </w:rPr>
              <w:t>vedere</w:t>
            </w:r>
            <w:proofErr w:type="spellEnd"/>
            <w:r w:rsidR="005037C8" w:rsidRPr="005037C8">
              <w:rPr>
                <w:bCs/>
                <w:sz w:val="18"/>
                <w:szCs w:val="18"/>
                <w:lang w:val="en-US"/>
              </w:rPr>
              <w:t xml:space="preserve"> </w:t>
            </w:r>
            <w:proofErr w:type="spellStart"/>
            <w:r w:rsidR="005037C8" w:rsidRPr="005037C8">
              <w:rPr>
                <w:bCs/>
                <w:sz w:val="18"/>
                <w:szCs w:val="18"/>
                <w:lang w:val="en-US"/>
              </w:rPr>
              <w:t>faptul</w:t>
            </w:r>
            <w:proofErr w:type="spellEnd"/>
            <w:r w:rsidR="005037C8" w:rsidRPr="005037C8">
              <w:rPr>
                <w:bCs/>
                <w:sz w:val="18"/>
                <w:szCs w:val="18"/>
                <w:lang w:val="en-US"/>
              </w:rPr>
              <w:t xml:space="preserve"> </w:t>
            </w:r>
            <w:proofErr w:type="spellStart"/>
            <w:r w:rsidR="005037C8" w:rsidRPr="005037C8">
              <w:rPr>
                <w:bCs/>
                <w:sz w:val="18"/>
                <w:szCs w:val="18"/>
                <w:lang w:val="en-US"/>
              </w:rPr>
              <w:t>că</w:t>
            </w:r>
            <w:proofErr w:type="spellEnd"/>
            <w:r w:rsidR="005037C8" w:rsidRPr="005037C8">
              <w:rPr>
                <w:bCs/>
                <w:sz w:val="18"/>
                <w:szCs w:val="18"/>
                <w:lang w:val="en-US"/>
              </w:rPr>
              <w:t xml:space="preserve"> </w:t>
            </w:r>
            <w:proofErr w:type="spellStart"/>
            <w:r w:rsidR="005037C8" w:rsidRPr="005037C8">
              <w:rPr>
                <w:bCs/>
                <w:sz w:val="18"/>
                <w:szCs w:val="18"/>
                <w:lang w:val="en-US"/>
              </w:rPr>
              <w:t>în</w:t>
            </w:r>
            <w:proofErr w:type="spellEnd"/>
            <w:r w:rsidR="005037C8" w:rsidRPr="005037C8">
              <w:rPr>
                <w:bCs/>
                <w:sz w:val="18"/>
                <w:szCs w:val="18"/>
                <w:lang w:val="en-US"/>
              </w:rPr>
              <w:t xml:space="preserve"> </w:t>
            </w:r>
            <w:proofErr w:type="spellStart"/>
            <w:r w:rsidR="005037C8" w:rsidRPr="005037C8">
              <w:rPr>
                <w:bCs/>
                <w:sz w:val="18"/>
                <w:szCs w:val="18"/>
                <w:lang w:val="en-US"/>
              </w:rPr>
              <w:lastRenderedPageBreak/>
              <w:t>Regulamentul</w:t>
            </w:r>
            <w:proofErr w:type="spellEnd"/>
            <w:r w:rsidR="005037C8" w:rsidRPr="005037C8">
              <w:rPr>
                <w:bCs/>
                <w:sz w:val="18"/>
                <w:szCs w:val="18"/>
                <w:lang w:val="en-US"/>
              </w:rPr>
              <w:t xml:space="preserve"> nr.109/2018 cu </w:t>
            </w:r>
            <w:proofErr w:type="spellStart"/>
            <w:r w:rsidR="005037C8" w:rsidRPr="005037C8">
              <w:rPr>
                <w:bCs/>
                <w:sz w:val="18"/>
                <w:szCs w:val="18"/>
                <w:lang w:val="en-US"/>
              </w:rPr>
              <w:t>privire</w:t>
            </w:r>
            <w:proofErr w:type="spellEnd"/>
            <w:r w:rsidR="005037C8" w:rsidRPr="005037C8">
              <w:rPr>
                <w:bCs/>
                <w:sz w:val="18"/>
                <w:szCs w:val="18"/>
                <w:lang w:val="en-US"/>
              </w:rPr>
              <w:t xml:space="preserve"> la </w:t>
            </w:r>
            <w:proofErr w:type="spellStart"/>
            <w:r w:rsidR="005037C8" w:rsidRPr="005037C8">
              <w:rPr>
                <w:bCs/>
                <w:sz w:val="18"/>
                <w:szCs w:val="18"/>
                <w:lang w:val="en-US"/>
              </w:rPr>
              <w:t>fondurile</w:t>
            </w:r>
            <w:proofErr w:type="spellEnd"/>
            <w:r w:rsidR="005037C8" w:rsidRPr="005037C8">
              <w:rPr>
                <w:bCs/>
                <w:sz w:val="18"/>
                <w:szCs w:val="18"/>
                <w:lang w:val="en-US"/>
              </w:rPr>
              <w:t xml:space="preserve"> </w:t>
            </w:r>
            <w:proofErr w:type="spellStart"/>
            <w:r w:rsidR="005037C8" w:rsidRPr="005037C8">
              <w:rPr>
                <w:bCs/>
                <w:sz w:val="18"/>
                <w:szCs w:val="18"/>
                <w:lang w:val="en-US"/>
              </w:rPr>
              <w:t>proprii</w:t>
            </w:r>
            <w:proofErr w:type="spellEnd"/>
            <w:r w:rsidR="005037C8" w:rsidRPr="005037C8">
              <w:rPr>
                <w:bCs/>
                <w:sz w:val="18"/>
                <w:szCs w:val="18"/>
                <w:lang w:val="en-US"/>
              </w:rPr>
              <w:t xml:space="preserve"> ale </w:t>
            </w:r>
            <w:proofErr w:type="spellStart"/>
            <w:r w:rsidR="005037C8" w:rsidRPr="005037C8">
              <w:rPr>
                <w:bCs/>
                <w:sz w:val="18"/>
                <w:szCs w:val="18"/>
                <w:lang w:val="en-US"/>
              </w:rPr>
              <w:t>băncilor</w:t>
            </w:r>
            <w:proofErr w:type="spellEnd"/>
            <w:r w:rsidR="005037C8" w:rsidRPr="005037C8">
              <w:rPr>
                <w:bCs/>
                <w:sz w:val="18"/>
                <w:szCs w:val="18"/>
                <w:lang w:val="en-US"/>
              </w:rPr>
              <w:t xml:space="preserve"> </w:t>
            </w:r>
            <w:proofErr w:type="spellStart"/>
            <w:r w:rsidR="005037C8" w:rsidRPr="005037C8">
              <w:rPr>
                <w:bCs/>
                <w:sz w:val="18"/>
                <w:szCs w:val="18"/>
                <w:lang w:val="en-US"/>
              </w:rPr>
              <w:t>și</w:t>
            </w:r>
            <w:proofErr w:type="spellEnd"/>
            <w:r w:rsidR="005037C8" w:rsidRPr="005037C8">
              <w:rPr>
                <w:bCs/>
                <w:sz w:val="18"/>
                <w:szCs w:val="18"/>
                <w:lang w:val="en-US"/>
              </w:rPr>
              <w:t xml:space="preserve"> </w:t>
            </w:r>
            <w:proofErr w:type="spellStart"/>
            <w:r w:rsidR="005037C8" w:rsidRPr="005037C8">
              <w:rPr>
                <w:bCs/>
                <w:sz w:val="18"/>
                <w:szCs w:val="18"/>
                <w:lang w:val="en-US"/>
              </w:rPr>
              <w:t>cerințele</w:t>
            </w:r>
            <w:proofErr w:type="spellEnd"/>
            <w:r w:rsidR="005037C8" w:rsidRPr="005037C8">
              <w:rPr>
                <w:bCs/>
                <w:sz w:val="18"/>
                <w:szCs w:val="18"/>
                <w:lang w:val="en-US"/>
              </w:rPr>
              <w:t xml:space="preserve"> de capital, </w:t>
            </w:r>
            <w:proofErr w:type="spellStart"/>
            <w:r w:rsidR="005037C8" w:rsidRPr="005037C8">
              <w:rPr>
                <w:bCs/>
                <w:sz w:val="18"/>
                <w:szCs w:val="18"/>
                <w:lang w:val="en-US"/>
              </w:rPr>
              <w:t>cerințele</w:t>
            </w:r>
            <w:proofErr w:type="spellEnd"/>
            <w:r w:rsidR="005037C8" w:rsidRPr="005037C8">
              <w:rPr>
                <w:bCs/>
                <w:sz w:val="18"/>
                <w:szCs w:val="18"/>
                <w:lang w:val="en-US"/>
              </w:rPr>
              <w:t xml:space="preserve"> </w:t>
            </w:r>
            <w:proofErr w:type="spellStart"/>
            <w:r w:rsidR="005037C8" w:rsidRPr="005037C8">
              <w:rPr>
                <w:bCs/>
                <w:sz w:val="18"/>
                <w:szCs w:val="18"/>
                <w:lang w:val="en-US"/>
              </w:rPr>
              <w:t>față</w:t>
            </w:r>
            <w:proofErr w:type="spellEnd"/>
            <w:r w:rsidR="005037C8" w:rsidRPr="005037C8">
              <w:rPr>
                <w:bCs/>
                <w:sz w:val="18"/>
                <w:szCs w:val="18"/>
                <w:lang w:val="en-US"/>
              </w:rPr>
              <w:t xml:space="preserve"> de </w:t>
            </w:r>
            <w:proofErr w:type="spellStart"/>
            <w:r w:rsidR="005037C8" w:rsidRPr="005037C8">
              <w:rPr>
                <w:bCs/>
                <w:sz w:val="18"/>
                <w:szCs w:val="18"/>
                <w:lang w:val="en-US"/>
              </w:rPr>
              <w:t>fondurile</w:t>
            </w:r>
            <w:proofErr w:type="spellEnd"/>
            <w:r w:rsidR="005037C8" w:rsidRPr="005037C8">
              <w:rPr>
                <w:bCs/>
                <w:sz w:val="18"/>
                <w:szCs w:val="18"/>
                <w:lang w:val="en-US"/>
              </w:rPr>
              <w:t xml:space="preserve"> </w:t>
            </w:r>
            <w:proofErr w:type="spellStart"/>
            <w:r w:rsidR="005037C8" w:rsidRPr="005037C8">
              <w:rPr>
                <w:bCs/>
                <w:sz w:val="18"/>
                <w:szCs w:val="18"/>
                <w:lang w:val="en-US"/>
              </w:rPr>
              <w:t>proprii</w:t>
            </w:r>
            <w:proofErr w:type="spellEnd"/>
            <w:r w:rsidR="005037C8" w:rsidRPr="005037C8">
              <w:rPr>
                <w:bCs/>
                <w:sz w:val="18"/>
                <w:szCs w:val="18"/>
                <w:lang w:val="en-US"/>
              </w:rPr>
              <w:t xml:space="preserve"> au </w:t>
            </w:r>
            <w:proofErr w:type="spellStart"/>
            <w:r w:rsidR="005037C8" w:rsidRPr="005037C8">
              <w:rPr>
                <w:bCs/>
                <w:sz w:val="18"/>
                <w:szCs w:val="18"/>
                <w:lang w:val="en-US"/>
              </w:rPr>
              <w:t>fost</w:t>
            </w:r>
            <w:proofErr w:type="spellEnd"/>
            <w:r w:rsidR="005037C8" w:rsidRPr="005037C8">
              <w:rPr>
                <w:bCs/>
                <w:sz w:val="18"/>
                <w:szCs w:val="18"/>
                <w:lang w:val="en-US"/>
              </w:rPr>
              <w:t xml:space="preserve"> </w:t>
            </w:r>
            <w:proofErr w:type="spellStart"/>
            <w:r w:rsidR="005037C8" w:rsidRPr="005037C8">
              <w:rPr>
                <w:bCs/>
                <w:sz w:val="18"/>
                <w:szCs w:val="18"/>
                <w:lang w:val="en-US"/>
              </w:rPr>
              <w:t>stabilite</w:t>
            </w:r>
            <w:proofErr w:type="spellEnd"/>
            <w:r w:rsidR="005037C8" w:rsidRPr="005037C8">
              <w:rPr>
                <w:bCs/>
                <w:sz w:val="18"/>
                <w:szCs w:val="18"/>
                <w:lang w:val="en-US"/>
              </w:rPr>
              <w:t xml:space="preserve"> </w:t>
            </w:r>
            <w:proofErr w:type="spellStart"/>
            <w:r w:rsidR="005037C8" w:rsidRPr="005037C8">
              <w:rPr>
                <w:bCs/>
                <w:sz w:val="18"/>
                <w:szCs w:val="18"/>
                <w:lang w:val="en-US"/>
              </w:rPr>
              <w:t>în</w:t>
            </w:r>
            <w:proofErr w:type="spellEnd"/>
            <w:r w:rsidR="005037C8" w:rsidRPr="005037C8">
              <w:rPr>
                <w:bCs/>
                <w:sz w:val="18"/>
                <w:szCs w:val="18"/>
                <w:lang w:val="en-US"/>
              </w:rPr>
              <w:t xml:space="preserve"> </w:t>
            </w:r>
            <w:proofErr w:type="spellStart"/>
            <w:r w:rsidR="005037C8" w:rsidRPr="005037C8">
              <w:rPr>
                <w:bCs/>
                <w:sz w:val="18"/>
                <w:szCs w:val="18"/>
                <w:lang w:val="en-US"/>
              </w:rPr>
              <w:t>mărime</w:t>
            </w:r>
            <w:proofErr w:type="spellEnd"/>
            <w:r w:rsidR="005037C8" w:rsidRPr="005037C8">
              <w:rPr>
                <w:bCs/>
                <w:sz w:val="18"/>
                <w:szCs w:val="18"/>
                <w:lang w:val="en-US"/>
              </w:rPr>
              <w:t xml:space="preserve"> de 10 % se </w:t>
            </w:r>
            <w:proofErr w:type="spellStart"/>
            <w:r w:rsidR="005037C8" w:rsidRPr="005037C8">
              <w:rPr>
                <w:bCs/>
                <w:sz w:val="18"/>
                <w:szCs w:val="18"/>
                <w:lang w:val="en-US"/>
              </w:rPr>
              <w:t>impune</w:t>
            </w:r>
            <w:proofErr w:type="spellEnd"/>
            <w:r w:rsidR="005037C8" w:rsidRPr="005037C8">
              <w:rPr>
                <w:bCs/>
                <w:sz w:val="18"/>
                <w:szCs w:val="18"/>
                <w:lang w:val="en-US"/>
              </w:rPr>
              <w:t xml:space="preserve"> </w:t>
            </w:r>
            <w:proofErr w:type="spellStart"/>
            <w:r w:rsidR="005037C8" w:rsidRPr="005037C8">
              <w:rPr>
                <w:bCs/>
                <w:sz w:val="18"/>
                <w:szCs w:val="18"/>
                <w:lang w:val="en-US"/>
              </w:rPr>
              <w:t>necesitatea</w:t>
            </w:r>
            <w:proofErr w:type="spellEnd"/>
            <w:r w:rsidR="005037C8" w:rsidRPr="005037C8">
              <w:rPr>
                <w:bCs/>
                <w:sz w:val="18"/>
                <w:szCs w:val="18"/>
                <w:lang w:val="en-US"/>
              </w:rPr>
              <w:t xml:space="preserve"> </w:t>
            </w:r>
            <w:proofErr w:type="spellStart"/>
            <w:r w:rsidR="005037C8" w:rsidRPr="005037C8">
              <w:rPr>
                <w:bCs/>
                <w:sz w:val="18"/>
                <w:szCs w:val="18"/>
                <w:lang w:val="en-US"/>
              </w:rPr>
              <w:t>ajustării</w:t>
            </w:r>
            <w:proofErr w:type="spellEnd"/>
            <w:r w:rsidR="005037C8" w:rsidRPr="005037C8">
              <w:rPr>
                <w:bCs/>
                <w:sz w:val="18"/>
                <w:szCs w:val="18"/>
                <w:lang w:val="en-US"/>
              </w:rPr>
              <w:t xml:space="preserve"> </w:t>
            </w:r>
            <w:proofErr w:type="spellStart"/>
            <w:r w:rsidR="005037C8" w:rsidRPr="005037C8">
              <w:rPr>
                <w:bCs/>
                <w:sz w:val="18"/>
                <w:szCs w:val="18"/>
                <w:lang w:val="en-US"/>
              </w:rPr>
              <w:t>și</w:t>
            </w:r>
            <w:proofErr w:type="spellEnd"/>
            <w:r w:rsidR="005037C8" w:rsidRPr="005037C8">
              <w:rPr>
                <w:bCs/>
                <w:sz w:val="18"/>
                <w:szCs w:val="18"/>
                <w:lang w:val="en-US"/>
              </w:rPr>
              <w:t xml:space="preserve"> a </w:t>
            </w:r>
            <w:proofErr w:type="spellStart"/>
            <w:r>
              <w:rPr>
                <w:bCs/>
                <w:sz w:val="18"/>
                <w:szCs w:val="18"/>
                <w:lang w:val="en-US"/>
              </w:rPr>
              <w:t>ponderei</w:t>
            </w:r>
            <w:proofErr w:type="spellEnd"/>
            <w:r w:rsidR="005037C8" w:rsidRPr="005037C8">
              <w:rPr>
                <w:bCs/>
                <w:sz w:val="18"/>
                <w:szCs w:val="18"/>
                <w:lang w:val="en-US"/>
              </w:rPr>
              <w:t xml:space="preserve"> </w:t>
            </w:r>
            <w:proofErr w:type="spellStart"/>
            <w:r w:rsidR="005037C8" w:rsidRPr="005037C8">
              <w:rPr>
                <w:bCs/>
                <w:sz w:val="18"/>
                <w:szCs w:val="18"/>
                <w:lang w:val="en-US"/>
              </w:rPr>
              <w:t>menționat</w:t>
            </w:r>
            <w:r>
              <w:rPr>
                <w:bCs/>
                <w:sz w:val="18"/>
                <w:szCs w:val="18"/>
                <w:lang w:val="en-US"/>
              </w:rPr>
              <w:t>e</w:t>
            </w:r>
            <w:proofErr w:type="spellEnd"/>
            <w:r w:rsidR="005037C8" w:rsidRPr="005037C8">
              <w:rPr>
                <w:bCs/>
                <w:sz w:val="18"/>
                <w:szCs w:val="18"/>
                <w:lang w:val="en-US"/>
              </w:rPr>
              <w:t xml:space="preserve"> din 125</w:t>
            </w:r>
            <w:r>
              <w:rPr>
                <w:bCs/>
                <w:sz w:val="18"/>
                <w:szCs w:val="18"/>
                <w:lang w:val="en-US"/>
              </w:rPr>
              <w:t>0%</w:t>
            </w:r>
            <w:r w:rsidR="005037C8" w:rsidRPr="005037C8">
              <w:rPr>
                <w:bCs/>
                <w:sz w:val="18"/>
                <w:szCs w:val="18"/>
                <w:lang w:val="en-US"/>
              </w:rPr>
              <w:t xml:space="preserve"> </w:t>
            </w:r>
            <w:proofErr w:type="spellStart"/>
            <w:r w:rsidR="005037C8" w:rsidRPr="005037C8">
              <w:rPr>
                <w:bCs/>
                <w:sz w:val="18"/>
                <w:szCs w:val="18"/>
                <w:lang w:val="en-US"/>
              </w:rPr>
              <w:t>în</w:t>
            </w:r>
            <w:proofErr w:type="spellEnd"/>
            <w:r w:rsidR="005037C8" w:rsidRPr="005037C8">
              <w:rPr>
                <w:bCs/>
                <w:sz w:val="18"/>
                <w:szCs w:val="18"/>
                <w:lang w:val="en-US"/>
              </w:rPr>
              <w:t xml:space="preserve"> 10</w:t>
            </w:r>
            <w:r>
              <w:rPr>
                <w:bCs/>
                <w:sz w:val="18"/>
                <w:szCs w:val="18"/>
                <w:lang w:val="en-US"/>
              </w:rPr>
              <w:t>0</w:t>
            </w:r>
            <w:r w:rsidR="005037C8" w:rsidRPr="005037C8">
              <w:rPr>
                <w:bCs/>
                <w:sz w:val="18"/>
                <w:szCs w:val="18"/>
                <w:lang w:val="en-US"/>
              </w:rPr>
              <w:t>0</w:t>
            </w:r>
            <w:r>
              <w:rPr>
                <w:bCs/>
                <w:sz w:val="18"/>
                <w:szCs w:val="18"/>
                <w:lang w:val="en-US"/>
              </w:rPr>
              <w:t>%</w:t>
            </w:r>
            <w:r w:rsidR="005037C8" w:rsidRPr="005037C8">
              <w:rPr>
                <w:bCs/>
                <w:sz w:val="18"/>
                <w:szCs w:val="18"/>
                <w:lang w:val="en-US"/>
              </w:rPr>
              <w:t>.</w:t>
            </w:r>
          </w:p>
          <w:p w14:paraId="63B466AA" w14:textId="77777777" w:rsidR="009E0ACF" w:rsidRDefault="009E0ACF" w:rsidP="00B93C1C">
            <w:pPr>
              <w:jc w:val="both"/>
              <w:rPr>
                <w:bCs/>
                <w:sz w:val="18"/>
                <w:szCs w:val="18"/>
                <w:lang w:val="en-US"/>
              </w:rPr>
            </w:pPr>
          </w:p>
          <w:p w14:paraId="3D30FB47" w14:textId="77777777" w:rsidR="009E0ACF" w:rsidRDefault="009E0ACF" w:rsidP="00B93C1C">
            <w:pPr>
              <w:jc w:val="both"/>
              <w:rPr>
                <w:bCs/>
                <w:sz w:val="18"/>
                <w:szCs w:val="18"/>
                <w:lang w:val="en-US"/>
              </w:rPr>
            </w:pPr>
          </w:p>
          <w:p w14:paraId="66AC8F4B" w14:textId="77777777" w:rsidR="009E0ACF" w:rsidRDefault="009E0ACF" w:rsidP="00B93C1C">
            <w:pPr>
              <w:jc w:val="both"/>
              <w:rPr>
                <w:bCs/>
                <w:sz w:val="18"/>
                <w:szCs w:val="18"/>
                <w:lang w:val="en-US"/>
              </w:rPr>
            </w:pPr>
          </w:p>
          <w:p w14:paraId="2D2D4B91" w14:textId="77777777" w:rsidR="009E0ACF" w:rsidRPr="009E0ACF" w:rsidRDefault="009E0ACF" w:rsidP="009E0ACF">
            <w:pPr>
              <w:autoSpaceDE w:val="0"/>
              <w:autoSpaceDN w:val="0"/>
              <w:rPr>
                <w:lang w:val="en-US"/>
              </w:rPr>
            </w:pPr>
            <w:r>
              <w:rPr>
                <w:rFonts w:ascii="Segoe UI" w:hAnsi="Segoe UI" w:cs="Segoe UI"/>
                <w:color w:val="4E586A"/>
                <w:sz w:val="16"/>
                <w:szCs w:val="16"/>
                <w:lang w:val="en-US"/>
              </w:rPr>
              <w:t> </w:t>
            </w:r>
          </w:p>
          <w:p w14:paraId="3DB8D204" w14:textId="77777777" w:rsidR="009E0ACF" w:rsidRPr="009E0ACF" w:rsidRDefault="009E0ACF" w:rsidP="009E0ACF">
            <w:pPr>
              <w:autoSpaceDE w:val="0"/>
              <w:autoSpaceDN w:val="0"/>
              <w:rPr>
                <w:lang w:val="en-US"/>
              </w:rPr>
            </w:pPr>
            <w:r w:rsidRPr="009E0ACF">
              <w:rPr>
                <w:sz w:val="20"/>
                <w:szCs w:val="20"/>
                <w:lang w:val="en-US"/>
              </w:rPr>
              <w:t> </w:t>
            </w:r>
          </w:p>
          <w:p w14:paraId="6BFEA1A4" w14:textId="5FC5E369" w:rsidR="009E0ACF" w:rsidRPr="009E0ACF" w:rsidRDefault="009E0ACF" w:rsidP="00B93C1C">
            <w:pPr>
              <w:jc w:val="both"/>
              <w:rPr>
                <w:color w:val="000000"/>
                <w:sz w:val="18"/>
                <w:szCs w:val="18"/>
                <w:lang w:val="en-US"/>
              </w:rPr>
            </w:pPr>
          </w:p>
        </w:tc>
      </w:tr>
      <w:tr w:rsidR="009E142A" w:rsidRPr="00775E84" w14:paraId="1B1A516D" w14:textId="77777777" w:rsidTr="003F5B3C">
        <w:trPr>
          <w:trHeight w:val="427"/>
        </w:trPr>
        <w:tc>
          <w:tcPr>
            <w:tcW w:w="4253" w:type="dxa"/>
          </w:tcPr>
          <w:p w14:paraId="2E1C2666" w14:textId="77777777" w:rsidR="009E142A" w:rsidRDefault="009E142A" w:rsidP="009E142A">
            <w:pPr>
              <w:rPr>
                <w:sz w:val="18"/>
                <w:szCs w:val="18"/>
                <w:lang w:val="en-US"/>
              </w:rPr>
            </w:pPr>
            <w:r w:rsidRPr="00DB5AA7">
              <w:rPr>
                <w:sz w:val="18"/>
                <w:szCs w:val="18"/>
                <w:lang w:val="en-US"/>
              </w:rPr>
              <w:lastRenderedPageBreak/>
              <w:t xml:space="preserve">(2) La </w:t>
            </w:r>
            <w:proofErr w:type="spellStart"/>
            <w:r w:rsidRPr="00DB5AA7">
              <w:rPr>
                <w:sz w:val="18"/>
                <w:szCs w:val="18"/>
                <w:lang w:val="en-US"/>
              </w:rPr>
              <w:t>aplicarea</w:t>
            </w:r>
            <w:proofErr w:type="spellEnd"/>
            <w:r w:rsidRPr="00DB5AA7">
              <w:rPr>
                <w:sz w:val="18"/>
                <w:szCs w:val="18"/>
                <w:lang w:val="en-US"/>
              </w:rPr>
              <w:t xml:space="preserve"> </w:t>
            </w:r>
            <w:proofErr w:type="spellStart"/>
            <w:r w:rsidRPr="00DB5AA7">
              <w:rPr>
                <w:sz w:val="18"/>
                <w:szCs w:val="18"/>
                <w:lang w:val="en-US"/>
              </w:rPr>
              <w:t>unei</w:t>
            </w:r>
            <w:proofErr w:type="spellEnd"/>
            <w:r w:rsidRPr="00DB5AA7">
              <w:rPr>
                <w:sz w:val="18"/>
                <w:szCs w:val="18"/>
                <w:lang w:val="en-US"/>
              </w:rPr>
              <w:t xml:space="preserve"> </w:t>
            </w:r>
            <w:proofErr w:type="spellStart"/>
            <w:r w:rsidRPr="00DB5AA7">
              <w:rPr>
                <w:sz w:val="18"/>
                <w:szCs w:val="18"/>
                <w:lang w:val="en-US"/>
              </w:rPr>
              <w:t>ponderi</w:t>
            </w:r>
            <w:proofErr w:type="spellEnd"/>
            <w:r w:rsidRPr="00DB5AA7">
              <w:rPr>
                <w:sz w:val="18"/>
                <w:szCs w:val="18"/>
                <w:lang w:val="en-US"/>
              </w:rPr>
              <w:t xml:space="preserve"> de </w:t>
            </w:r>
            <w:proofErr w:type="spellStart"/>
            <w:r w:rsidRPr="00DB5AA7">
              <w:rPr>
                <w:sz w:val="18"/>
                <w:szCs w:val="18"/>
                <w:lang w:val="en-US"/>
              </w:rPr>
              <w:t>risc</w:t>
            </w:r>
            <w:proofErr w:type="spellEnd"/>
            <w:r w:rsidRPr="00DB5AA7">
              <w:rPr>
                <w:sz w:val="18"/>
                <w:szCs w:val="18"/>
                <w:lang w:val="en-US"/>
              </w:rPr>
              <w:t xml:space="preserve"> </w:t>
            </w:r>
            <w:proofErr w:type="spellStart"/>
            <w:r w:rsidRPr="00DB5AA7">
              <w:rPr>
                <w:sz w:val="18"/>
                <w:szCs w:val="18"/>
                <w:lang w:val="en-US"/>
              </w:rPr>
              <w:t>expunerilor</w:t>
            </w:r>
            <w:proofErr w:type="spellEnd"/>
            <w:r w:rsidRPr="00DB5AA7">
              <w:rPr>
                <w:sz w:val="18"/>
                <w:szCs w:val="18"/>
                <w:lang w:val="en-US"/>
              </w:rPr>
              <w:t xml:space="preserve"> din </w:t>
            </w:r>
            <w:proofErr w:type="spellStart"/>
            <w:r w:rsidRPr="00DB5AA7">
              <w:rPr>
                <w:sz w:val="18"/>
                <w:szCs w:val="18"/>
                <w:lang w:val="en-US"/>
              </w:rPr>
              <w:t>tranzacţiile</w:t>
            </w:r>
            <w:proofErr w:type="spellEnd"/>
            <w:r w:rsidRPr="00DB5AA7">
              <w:rPr>
                <w:sz w:val="18"/>
                <w:szCs w:val="18"/>
                <w:lang w:val="en-US"/>
              </w:rPr>
              <w:t xml:space="preserve"> incomplete </w:t>
            </w:r>
            <w:proofErr w:type="spellStart"/>
            <w:r w:rsidRPr="00DB5AA7">
              <w:rPr>
                <w:sz w:val="18"/>
                <w:szCs w:val="18"/>
                <w:lang w:val="en-US"/>
              </w:rPr>
              <w:t>tratate</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conformitate</w:t>
            </w:r>
            <w:proofErr w:type="spellEnd"/>
            <w:r w:rsidRPr="00DB5AA7">
              <w:rPr>
                <w:sz w:val="18"/>
                <w:szCs w:val="18"/>
                <w:lang w:val="en-US"/>
              </w:rPr>
              <w:t xml:space="preserve"> cu </w:t>
            </w:r>
            <w:proofErr w:type="spellStart"/>
            <w:r w:rsidRPr="00DB5AA7">
              <w:rPr>
                <w:sz w:val="18"/>
                <w:szCs w:val="18"/>
                <w:lang w:val="en-US"/>
              </w:rPr>
              <w:t>coloana</w:t>
            </w:r>
            <w:proofErr w:type="spellEnd"/>
            <w:r w:rsidRPr="00DB5AA7">
              <w:rPr>
                <w:sz w:val="18"/>
                <w:szCs w:val="18"/>
                <w:lang w:val="en-US"/>
              </w:rPr>
              <w:t xml:space="preserve"> 3 din </w:t>
            </w:r>
            <w:proofErr w:type="spellStart"/>
            <w:r w:rsidRPr="00DB5AA7">
              <w:rPr>
                <w:sz w:val="18"/>
                <w:szCs w:val="18"/>
                <w:lang w:val="en-US"/>
              </w:rPr>
              <w:t>tabelul</w:t>
            </w:r>
            <w:proofErr w:type="spellEnd"/>
            <w:r w:rsidRPr="00DB5AA7">
              <w:rPr>
                <w:sz w:val="18"/>
                <w:szCs w:val="18"/>
                <w:lang w:val="en-US"/>
              </w:rPr>
              <w:t xml:space="preserve"> 2, o </w:t>
            </w:r>
            <w:proofErr w:type="spellStart"/>
            <w:r w:rsidRPr="00DB5AA7">
              <w:rPr>
                <w:sz w:val="18"/>
                <w:szCs w:val="18"/>
                <w:lang w:val="en-US"/>
              </w:rPr>
              <w:t>instituţie</w:t>
            </w:r>
            <w:proofErr w:type="spellEnd"/>
            <w:r w:rsidRPr="00DB5AA7">
              <w:rPr>
                <w:sz w:val="18"/>
                <w:szCs w:val="18"/>
                <w:lang w:val="en-US"/>
              </w:rPr>
              <w:t xml:space="preserve"> care </w:t>
            </w:r>
            <w:proofErr w:type="spellStart"/>
            <w:r w:rsidRPr="00DB5AA7">
              <w:rPr>
                <w:sz w:val="18"/>
                <w:szCs w:val="18"/>
                <w:lang w:val="en-US"/>
              </w:rPr>
              <w:t>utilizează</w:t>
            </w:r>
            <w:proofErr w:type="spellEnd"/>
            <w:r w:rsidRPr="00DB5AA7">
              <w:rPr>
                <w:sz w:val="18"/>
                <w:szCs w:val="18"/>
                <w:lang w:val="en-US"/>
              </w:rPr>
              <w:t xml:space="preserve"> </w:t>
            </w:r>
            <w:proofErr w:type="spellStart"/>
            <w:r w:rsidRPr="00DB5AA7">
              <w:rPr>
                <w:sz w:val="18"/>
                <w:szCs w:val="18"/>
                <w:lang w:val="en-US"/>
              </w:rPr>
              <w:t>abordarea</w:t>
            </w:r>
            <w:proofErr w:type="spellEnd"/>
            <w:r w:rsidRPr="00DB5AA7">
              <w:rPr>
                <w:sz w:val="18"/>
                <w:szCs w:val="18"/>
                <w:lang w:val="en-US"/>
              </w:rPr>
              <w:t xml:space="preserve"> IRB </w:t>
            </w:r>
            <w:proofErr w:type="spellStart"/>
            <w:r w:rsidRPr="00DB5AA7">
              <w:rPr>
                <w:sz w:val="18"/>
                <w:szCs w:val="18"/>
                <w:lang w:val="en-US"/>
              </w:rPr>
              <w:t>prevăzută</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partea</w:t>
            </w:r>
            <w:proofErr w:type="spellEnd"/>
            <w:r w:rsidRPr="00DB5AA7">
              <w:rPr>
                <w:sz w:val="18"/>
                <w:szCs w:val="18"/>
                <w:lang w:val="en-US"/>
              </w:rPr>
              <w:t xml:space="preserve"> a </w:t>
            </w:r>
            <w:proofErr w:type="spellStart"/>
            <w:r w:rsidRPr="00DB5AA7">
              <w:rPr>
                <w:sz w:val="18"/>
                <w:szCs w:val="18"/>
                <w:lang w:val="en-US"/>
              </w:rPr>
              <w:t>treia</w:t>
            </w:r>
            <w:proofErr w:type="spellEnd"/>
            <w:r w:rsidRPr="00DB5AA7">
              <w:rPr>
                <w:sz w:val="18"/>
                <w:szCs w:val="18"/>
                <w:lang w:val="en-US"/>
              </w:rPr>
              <w:t xml:space="preserve"> </w:t>
            </w:r>
            <w:proofErr w:type="spellStart"/>
            <w:r w:rsidRPr="00DB5AA7">
              <w:rPr>
                <w:sz w:val="18"/>
                <w:szCs w:val="18"/>
                <w:lang w:val="en-US"/>
              </w:rPr>
              <w:t>titlul</w:t>
            </w:r>
            <w:proofErr w:type="spellEnd"/>
            <w:r w:rsidRPr="00DB5AA7">
              <w:rPr>
                <w:sz w:val="18"/>
                <w:szCs w:val="18"/>
                <w:lang w:val="en-US"/>
              </w:rPr>
              <w:t xml:space="preserve"> II </w:t>
            </w:r>
            <w:proofErr w:type="spellStart"/>
            <w:r w:rsidRPr="00DB5AA7">
              <w:rPr>
                <w:sz w:val="18"/>
                <w:szCs w:val="18"/>
                <w:lang w:val="en-US"/>
              </w:rPr>
              <w:t>capitolul</w:t>
            </w:r>
            <w:proofErr w:type="spellEnd"/>
            <w:r w:rsidRPr="00DB5AA7">
              <w:rPr>
                <w:sz w:val="18"/>
                <w:szCs w:val="18"/>
                <w:lang w:val="en-US"/>
              </w:rPr>
              <w:t xml:space="preserve"> 3, </w:t>
            </w:r>
            <w:proofErr w:type="spellStart"/>
            <w:r w:rsidRPr="00DB5AA7">
              <w:rPr>
                <w:sz w:val="18"/>
                <w:szCs w:val="18"/>
                <w:lang w:val="en-US"/>
              </w:rPr>
              <w:t>poate</w:t>
            </w:r>
            <w:proofErr w:type="spellEnd"/>
            <w:r w:rsidRPr="00DB5AA7">
              <w:rPr>
                <w:sz w:val="18"/>
                <w:szCs w:val="18"/>
                <w:lang w:val="en-US"/>
              </w:rPr>
              <w:t xml:space="preserve"> </w:t>
            </w:r>
            <w:proofErr w:type="spellStart"/>
            <w:r w:rsidRPr="00DB5AA7">
              <w:rPr>
                <w:sz w:val="18"/>
                <w:szCs w:val="18"/>
                <w:lang w:val="en-US"/>
              </w:rPr>
              <w:t>atribui</w:t>
            </w:r>
            <w:proofErr w:type="spellEnd"/>
            <w:r w:rsidRPr="00DB5AA7">
              <w:rPr>
                <w:sz w:val="18"/>
                <w:szCs w:val="18"/>
                <w:lang w:val="en-US"/>
              </w:rPr>
              <w:t xml:space="preserve"> </w:t>
            </w:r>
            <w:proofErr w:type="spellStart"/>
            <w:r w:rsidRPr="00DB5AA7">
              <w:rPr>
                <w:sz w:val="18"/>
                <w:szCs w:val="18"/>
                <w:lang w:val="en-US"/>
              </w:rPr>
              <w:t>probabilităţi</w:t>
            </w:r>
            <w:proofErr w:type="spellEnd"/>
            <w:r w:rsidRPr="00DB5AA7">
              <w:rPr>
                <w:sz w:val="18"/>
                <w:szCs w:val="18"/>
                <w:lang w:val="en-US"/>
              </w:rPr>
              <w:t xml:space="preserve"> de </w:t>
            </w:r>
            <w:proofErr w:type="spellStart"/>
            <w:r w:rsidRPr="00DB5AA7">
              <w:rPr>
                <w:sz w:val="18"/>
                <w:szCs w:val="18"/>
                <w:lang w:val="en-US"/>
              </w:rPr>
              <w:t>nerambursare</w:t>
            </w:r>
            <w:proofErr w:type="spellEnd"/>
            <w:r w:rsidRPr="00DB5AA7">
              <w:rPr>
                <w:sz w:val="18"/>
                <w:szCs w:val="18"/>
                <w:lang w:val="en-US"/>
              </w:rPr>
              <w:t xml:space="preserve"> </w:t>
            </w:r>
            <w:proofErr w:type="spellStart"/>
            <w:r w:rsidRPr="00DB5AA7">
              <w:rPr>
                <w:sz w:val="18"/>
                <w:szCs w:val="18"/>
                <w:lang w:val="en-US"/>
              </w:rPr>
              <w:t>contrapărţilor</w:t>
            </w:r>
            <w:proofErr w:type="spellEnd"/>
            <w:r w:rsidRPr="00DB5AA7">
              <w:rPr>
                <w:sz w:val="18"/>
                <w:szCs w:val="18"/>
                <w:lang w:val="en-US"/>
              </w:rPr>
              <w:t xml:space="preserve"> </w:t>
            </w:r>
            <w:proofErr w:type="spellStart"/>
            <w:r w:rsidRPr="00DB5AA7">
              <w:rPr>
                <w:sz w:val="18"/>
                <w:szCs w:val="18"/>
                <w:lang w:val="en-US"/>
              </w:rPr>
              <w:t>pentru</w:t>
            </w:r>
            <w:proofErr w:type="spellEnd"/>
            <w:r w:rsidRPr="00DB5AA7">
              <w:rPr>
                <w:sz w:val="18"/>
                <w:szCs w:val="18"/>
                <w:lang w:val="en-US"/>
              </w:rPr>
              <w:t xml:space="preserve"> care nu are </w:t>
            </w:r>
            <w:proofErr w:type="spellStart"/>
            <w:r w:rsidRPr="00DB5AA7">
              <w:rPr>
                <w:sz w:val="18"/>
                <w:szCs w:val="18"/>
                <w:lang w:val="en-US"/>
              </w:rPr>
              <w:t>alte</w:t>
            </w:r>
            <w:proofErr w:type="spellEnd"/>
            <w:r w:rsidRPr="00DB5AA7">
              <w:rPr>
                <w:sz w:val="18"/>
                <w:szCs w:val="18"/>
                <w:lang w:val="en-US"/>
              </w:rPr>
              <w:t xml:space="preserve"> </w:t>
            </w:r>
            <w:proofErr w:type="spellStart"/>
            <w:r w:rsidRPr="00DB5AA7">
              <w:rPr>
                <w:sz w:val="18"/>
                <w:szCs w:val="18"/>
                <w:lang w:val="en-US"/>
              </w:rPr>
              <w:t>expuneri</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afara </w:t>
            </w:r>
            <w:proofErr w:type="spellStart"/>
            <w:r w:rsidRPr="00DB5AA7">
              <w:rPr>
                <w:sz w:val="18"/>
                <w:szCs w:val="18"/>
                <w:lang w:val="en-US"/>
              </w:rPr>
              <w:t>portofoliului</w:t>
            </w:r>
            <w:proofErr w:type="spellEnd"/>
            <w:r w:rsidRPr="00DB5AA7">
              <w:rPr>
                <w:sz w:val="18"/>
                <w:szCs w:val="18"/>
                <w:lang w:val="en-US"/>
              </w:rPr>
              <w:t xml:space="preserve"> de </w:t>
            </w:r>
            <w:proofErr w:type="spellStart"/>
            <w:r w:rsidRPr="00DB5AA7">
              <w:rPr>
                <w:sz w:val="18"/>
                <w:szCs w:val="18"/>
                <w:lang w:val="en-US"/>
              </w:rPr>
              <w:t>tranzacţionare</w:t>
            </w:r>
            <w:proofErr w:type="spellEnd"/>
            <w:r w:rsidRPr="00DB5AA7">
              <w:rPr>
                <w:sz w:val="18"/>
                <w:szCs w:val="18"/>
                <w:lang w:val="en-US"/>
              </w:rPr>
              <w:t xml:space="preserve">, pe </w:t>
            </w:r>
            <w:proofErr w:type="spellStart"/>
            <w:r w:rsidRPr="00DB5AA7">
              <w:rPr>
                <w:sz w:val="18"/>
                <w:szCs w:val="18"/>
                <w:lang w:val="en-US"/>
              </w:rPr>
              <w:t>baza</w:t>
            </w:r>
            <w:proofErr w:type="spellEnd"/>
            <w:r w:rsidRPr="00DB5AA7">
              <w:rPr>
                <w:sz w:val="18"/>
                <w:szCs w:val="18"/>
                <w:lang w:val="en-US"/>
              </w:rPr>
              <w:t xml:space="preserve"> </w:t>
            </w:r>
            <w:proofErr w:type="spellStart"/>
            <w:r w:rsidRPr="00DB5AA7">
              <w:rPr>
                <w:sz w:val="18"/>
                <w:szCs w:val="18"/>
                <w:lang w:val="en-US"/>
              </w:rPr>
              <w:t>ratingului</w:t>
            </w:r>
            <w:proofErr w:type="spellEnd"/>
            <w:r w:rsidRPr="00DB5AA7">
              <w:rPr>
                <w:sz w:val="18"/>
                <w:szCs w:val="18"/>
                <w:lang w:val="en-US"/>
              </w:rPr>
              <w:t xml:space="preserve"> extern al </w:t>
            </w:r>
            <w:proofErr w:type="spellStart"/>
            <w:r w:rsidRPr="00DB5AA7">
              <w:rPr>
                <w:sz w:val="18"/>
                <w:szCs w:val="18"/>
                <w:lang w:val="en-US"/>
              </w:rPr>
              <w:t>contrapărţii</w:t>
            </w:r>
            <w:proofErr w:type="spellEnd"/>
            <w:r w:rsidRPr="00DB5AA7">
              <w:rPr>
                <w:sz w:val="18"/>
                <w:szCs w:val="18"/>
                <w:lang w:val="en-US"/>
              </w:rPr>
              <w:t xml:space="preserve">. </w:t>
            </w:r>
            <w:proofErr w:type="spellStart"/>
            <w:r w:rsidRPr="00DB5AA7">
              <w:rPr>
                <w:sz w:val="18"/>
                <w:szCs w:val="18"/>
                <w:lang w:val="en-US"/>
              </w:rPr>
              <w:t>Instituţiile</w:t>
            </w:r>
            <w:proofErr w:type="spellEnd"/>
            <w:r w:rsidRPr="00DB5AA7">
              <w:rPr>
                <w:sz w:val="18"/>
                <w:szCs w:val="18"/>
                <w:lang w:val="en-US"/>
              </w:rPr>
              <w:t xml:space="preserve"> care </w:t>
            </w:r>
            <w:proofErr w:type="spellStart"/>
            <w:r w:rsidRPr="00DB5AA7">
              <w:rPr>
                <w:sz w:val="18"/>
                <w:szCs w:val="18"/>
                <w:lang w:val="en-US"/>
              </w:rPr>
              <w:t>utilizează</w:t>
            </w:r>
            <w:proofErr w:type="spellEnd"/>
            <w:r w:rsidRPr="00DB5AA7">
              <w:rPr>
                <w:sz w:val="18"/>
                <w:szCs w:val="18"/>
                <w:lang w:val="en-US"/>
              </w:rPr>
              <w:t xml:space="preserve"> </w:t>
            </w:r>
            <w:proofErr w:type="spellStart"/>
            <w:r w:rsidRPr="00DB5AA7">
              <w:rPr>
                <w:sz w:val="18"/>
                <w:szCs w:val="18"/>
                <w:lang w:val="en-US"/>
              </w:rPr>
              <w:t>propriile</w:t>
            </w:r>
            <w:proofErr w:type="spellEnd"/>
            <w:r w:rsidRPr="00DB5AA7">
              <w:rPr>
                <w:sz w:val="18"/>
                <w:szCs w:val="18"/>
                <w:lang w:val="en-US"/>
              </w:rPr>
              <w:t xml:space="preserve"> </w:t>
            </w:r>
            <w:proofErr w:type="spellStart"/>
            <w:r w:rsidRPr="00DB5AA7">
              <w:rPr>
                <w:sz w:val="18"/>
                <w:szCs w:val="18"/>
                <w:lang w:val="en-US"/>
              </w:rPr>
              <w:t>estimări</w:t>
            </w:r>
            <w:proofErr w:type="spellEnd"/>
            <w:r w:rsidRPr="00DB5AA7">
              <w:rPr>
                <w:sz w:val="18"/>
                <w:szCs w:val="18"/>
                <w:lang w:val="en-US"/>
              </w:rPr>
              <w:t xml:space="preserve"> ale </w:t>
            </w:r>
            <w:proofErr w:type="spellStart"/>
            <w:r w:rsidRPr="00DB5AA7">
              <w:rPr>
                <w:sz w:val="18"/>
                <w:szCs w:val="18"/>
                <w:lang w:val="en-US"/>
              </w:rPr>
              <w:t>pierderii</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caz</w:t>
            </w:r>
            <w:proofErr w:type="spellEnd"/>
            <w:r w:rsidRPr="00DB5AA7">
              <w:rPr>
                <w:sz w:val="18"/>
                <w:szCs w:val="18"/>
                <w:lang w:val="en-US"/>
              </w:rPr>
              <w:t xml:space="preserve"> de </w:t>
            </w:r>
            <w:proofErr w:type="spellStart"/>
            <w:r w:rsidRPr="00DB5AA7">
              <w:rPr>
                <w:sz w:val="18"/>
                <w:szCs w:val="18"/>
                <w:lang w:val="en-US"/>
              </w:rPr>
              <w:t>nerambursare</w:t>
            </w:r>
            <w:proofErr w:type="spellEnd"/>
            <w:r w:rsidRPr="00DB5AA7">
              <w:rPr>
                <w:sz w:val="18"/>
                <w:szCs w:val="18"/>
                <w:lang w:val="en-US"/>
              </w:rPr>
              <w:t xml:space="preserve"> (LGD — loss given default) pot </w:t>
            </w:r>
            <w:proofErr w:type="spellStart"/>
            <w:r w:rsidRPr="00DB5AA7">
              <w:rPr>
                <w:sz w:val="18"/>
                <w:szCs w:val="18"/>
                <w:lang w:val="en-US"/>
              </w:rPr>
              <w:t>aplica</w:t>
            </w:r>
            <w:proofErr w:type="spellEnd"/>
            <w:r w:rsidRPr="00DB5AA7">
              <w:rPr>
                <w:sz w:val="18"/>
                <w:szCs w:val="18"/>
                <w:lang w:val="en-US"/>
              </w:rPr>
              <w:t xml:space="preserve"> </w:t>
            </w:r>
            <w:proofErr w:type="spellStart"/>
            <w:r w:rsidRPr="00DB5AA7">
              <w:rPr>
                <w:sz w:val="18"/>
                <w:szCs w:val="18"/>
                <w:lang w:val="en-US"/>
              </w:rPr>
              <w:t>valoarea</w:t>
            </w:r>
            <w:proofErr w:type="spellEnd"/>
            <w:r w:rsidRPr="00DB5AA7">
              <w:rPr>
                <w:sz w:val="18"/>
                <w:szCs w:val="18"/>
                <w:lang w:val="en-US"/>
              </w:rPr>
              <w:t xml:space="preserve"> </w:t>
            </w:r>
            <w:proofErr w:type="spellStart"/>
            <w:r w:rsidRPr="00DB5AA7">
              <w:rPr>
                <w:sz w:val="18"/>
                <w:szCs w:val="18"/>
                <w:lang w:val="en-US"/>
              </w:rPr>
              <w:t>pierderilor</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caz</w:t>
            </w:r>
            <w:proofErr w:type="spellEnd"/>
            <w:r w:rsidRPr="00DB5AA7">
              <w:rPr>
                <w:sz w:val="18"/>
                <w:szCs w:val="18"/>
                <w:lang w:val="en-US"/>
              </w:rPr>
              <w:t xml:space="preserve"> de </w:t>
            </w:r>
            <w:proofErr w:type="spellStart"/>
            <w:r w:rsidRPr="00DB5AA7">
              <w:rPr>
                <w:sz w:val="18"/>
                <w:szCs w:val="18"/>
                <w:lang w:val="en-US"/>
              </w:rPr>
              <w:t>nerambursare</w:t>
            </w:r>
            <w:proofErr w:type="spellEnd"/>
            <w:r w:rsidRPr="00DB5AA7">
              <w:rPr>
                <w:sz w:val="18"/>
                <w:szCs w:val="18"/>
                <w:lang w:val="en-US"/>
              </w:rPr>
              <w:t xml:space="preserve"> </w:t>
            </w:r>
            <w:proofErr w:type="spellStart"/>
            <w:r w:rsidRPr="00DB5AA7">
              <w:rPr>
                <w:sz w:val="18"/>
                <w:szCs w:val="18"/>
                <w:lang w:val="en-US"/>
              </w:rPr>
              <w:t>prevăzută</w:t>
            </w:r>
            <w:proofErr w:type="spellEnd"/>
            <w:r w:rsidRPr="00DB5AA7">
              <w:rPr>
                <w:sz w:val="18"/>
                <w:szCs w:val="18"/>
                <w:lang w:val="en-US"/>
              </w:rPr>
              <w:t xml:space="preserve"> la </w:t>
            </w:r>
            <w:proofErr w:type="spellStart"/>
            <w:r w:rsidRPr="00DB5AA7">
              <w:rPr>
                <w:sz w:val="18"/>
                <w:szCs w:val="18"/>
                <w:lang w:val="en-US"/>
              </w:rPr>
              <w:t>articolul</w:t>
            </w:r>
            <w:proofErr w:type="spellEnd"/>
            <w:r w:rsidRPr="00DB5AA7">
              <w:rPr>
                <w:sz w:val="18"/>
                <w:szCs w:val="18"/>
                <w:lang w:val="en-US"/>
              </w:rPr>
              <w:t xml:space="preserve"> 161 </w:t>
            </w:r>
            <w:proofErr w:type="spellStart"/>
            <w:r w:rsidRPr="00DB5AA7">
              <w:rPr>
                <w:sz w:val="18"/>
                <w:szCs w:val="18"/>
                <w:lang w:val="en-US"/>
              </w:rPr>
              <w:t>alineatul</w:t>
            </w:r>
            <w:proofErr w:type="spellEnd"/>
            <w:r w:rsidRPr="00DB5AA7">
              <w:rPr>
                <w:sz w:val="18"/>
                <w:szCs w:val="18"/>
                <w:lang w:val="en-US"/>
              </w:rPr>
              <w:t xml:space="preserve"> (1) </w:t>
            </w:r>
            <w:proofErr w:type="spellStart"/>
            <w:r w:rsidRPr="00DB5AA7">
              <w:rPr>
                <w:sz w:val="18"/>
                <w:szCs w:val="18"/>
                <w:lang w:val="en-US"/>
              </w:rPr>
              <w:t>expunerilor</w:t>
            </w:r>
            <w:proofErr w:type="spellEnd"/>
            <w:r w:rsidRPr="00DB5AA7">
              <w:rPr>
                <w:sz w:val="18"/>
                <w:szCs w:val="18"/>
                <w:lang w:val="en-US"/>
              </w:rPr>
              <w:t xml:space="preserve"> din </w:t>
            </w:r>
            <w:proofErr w:type="spellStart"/>
            <w:r w:rsidRPr="00DB5AA7">
              <w:rPr>
                <w:sz w:val="18"/>
                <w:szCs w:val="18"/>
                <w:lang w:val="en-US"/>
              </w:rPr>
              <w:t>tranzacţii</w:t>
            </w:r>
            <w:proofErr w:type="spellEnd"/>
            <w:r w:rsidRPr="00DB5AA7">
              <w:rPr>
                <w:sz w:val="18"/>
                <w:szCs w:val="18"/>
                <w:lang w:val="en-US"/>
              </w:rPr>
              <w:t xml:space="preserve"> incomplete </w:t>
            </w:r>
            <w:proofErr w:type="spellStart"/>
            <w:r w:rsidRPr="00DB5AA7">
              <w:rPr>
                <w:sz w:val="18"/>
                <w:szCs w:val="18"/>
                <w:lang w:val="en-US"/>
              </w:rPr>
              <w:t>tratate</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conformitate</w:t>
            </w:r>
            <w:proofErr w:type="spellEnd"/>
            <w:r w:rsidRPr="00DB5AA7">
              <w:rPr>
                <w:sz w:val="18"/>
                <w:szCs w:val="18"/>
                <w:lang w:val="en-US"/>
              </w:rPr>
              <w:t xml:space="preserve"> cu </w:t>
            </w:r>
            <w:proofErr w:type="spellStart"/>
            <w:r w:rsidRPr="00DB5AA7">
              <w:rPr>
                <w:sz w:val="18"/>
                <w:szCs w:val="18"/>
                <w:lang w:val="en-US"/>
              </w:rPr>
              <w:t>coloana</w:t>
            </w:r>
            <w:proofErr w:type="spellEnd"/>
            <w:r w:rsidRPr="00DB5AA7">
              <w:rPr>
                <w:sz w:val="18"/>
                <w:szCs w:val="18"/>
                <w:lang w:val="en-US"/>
              </w:rPr>
              <w:t xml:space="preserve"> 3 din </w:t>
            </w:r>
            <w:proofErr w:type="spellStart"/>
            <w:r w:rsidRPr="00DB5AA7">
              <w:rPr>
                <w:sz w:val="18"/>
                <w:szCs w:val="18"/>
                <w:lang w:val="en-US"/>
              </w:rPr>
              <w:t>tabelul</w:t>
            </w:r>
            <w:proofErr w:type="spellEnd"/>
            <w:r w:rsidRPr="00DB5AA7">
              <w:rPr>
                <w:sz w:val="18"/>
                <w:szCs w:val="18"/>
                <w:lang w:val="en-US"/>
              </w:rPr>
              <w:t xml:space="preserve"> 2, cu </w:t>
            </w:r>
            <w:proofErr w:type="spellStart"/>
            <w:r w:rsidRPr="00DB5AA7">
              <w:rPr>
                <w:sz w:val="18"/>
                <w:szCs w:val="18"/>
                <w:lang w:val="en-US"/>
              </w:rPr>
              <w:t>condiţia</w:t>
            </w:r>
            <w:proofErr w:type="spellEnd"/>
            <w:r w:rsidRPr="00DB5AA7">
              <w:rPr>
                <w:sz w:val="18"/>
                <w:szCs w:val="18"/>
                <w:lang w:val="en-US"/>
              </w:rPr>
              <w:t xml:space="preserve"> </w:t>
            </w:r>
            <w:proofErr w:type="spellStart"/>
            <w:r w:rsidRPr="00DB5AA7">
              <w:rPr>
                <w:sz w:val="18"/>
                <w:szCs w:val="18"/>
                <w:lang w:val="en-US"/>
              </w:rPr>
              <w:t>să</w:t>
            </w:r>
            <w:proofErr w:type="spellEnd"/>
            <w:r w:rsidRPr="00DB5AA7">
              <w:rPr>
                <w:sz w:val="18"/>
                <w:szCs w:val="18"/>
                <w:lang w:val="en-US"/>
              </w:rPr>
              <w:t xml:space="preserve"> </w:t>
            </w:r>
            <w:proofErr w:type="spellStart"/>
            <w:r w:rsidRPr="00DB5AA7">
              <w:rPr>
                <w:sz w:val="18"/>
                <w:szCs w:val="18"/>
                <w:lang w:val="en-US"/>
              </w:rPr>
              <w:t>aplice</w:t>
            </w:r>
            <w:proofErr w:type="spellEnd"/>
            <w:r w:rsidRPr="00DB5AA7">
              <w:rPr>
                <w:sz w:val="18"/>
                <w:szCs w:val="18"/>
                <w:lang w:val="en-US"/>
              </w:rPr>
              <w:t xml:space="preserve"> </w:t>
            </w:r>
            <w:proofErr w:type="spellStart"/>
            <w:r w:rsidRPr="00DB5AA7">
              <w:rPr>
                <w:sz w:val="18"/>
                <w:szCs w:val="18"/>
                <w:lang w:val="en-US"/>
              </w:rPr>
              <w:t>respectiva</w:t>
            </w:r>
            <w:proofErr w:type="spellEnd"/>
            <w:r w:rsidRPr="00DB5AA7">
              <w:rPr>
                <w:sz w:val="18"/>
                <w:szCs w:val="18"/>
                <w:lang w:val="en-US"/>
              </w:rPr>
              <w:t xml:space="preserve"> </w:t>
            </w:r>
            <w:proofErr w:type="spellStart"/>
            <w:r w:rsidRPr="00DB5AA7">
              <w:rPr>
                <w:sz w:val="18"/>
                <w:szCs w:val="18"/>
                <w:lang w:val="en-US"/>
              </w:rPr>
              <w:t>valoare</w:t>
            </w:r>
            <w:proofErr w:type="spellEnd"/>
            <w:r w:rsidRPr="00DB5AA7">
              <w:rPr>
                <w:sz w:val="18"/>
                <w:szCs w:val="18"/>
                <w:lang w:val="en-US"/>
              </w:rPr>
              <w:t xml:space="preserve"> a </w:t>
            </w:r>
            <w:proofErr w:type="spellStart"/>
            <w:r w:rsidRPr="00DB5AA7">
              <w:rPr>
                <w:sz w:val="18"/>
                <w:szCs w:val="18"/>
                <w:lang w:val="en-US"/>
              </w:rPr>
              <w:t>pierderii</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caz</w:t>
            </w:r>
            <w:proofErr w:type="spellEnd"/>
            <w:r w:rsidRPr="00DB5AA7">
              <w:rPr>
                <w:sz w:val="18"/>
                <w:szCs w:val="18"/>
                <w:lang w:val="en-US"/>
              </w:rPr>
              <w:t xml:space="preserve"> de </w:t>
            </w:r>
            <w:proofErr w:type="spellStart"/>
            <w:r w:rsidRPr="00DB5AA7">
              <w:rPr>
                <w:sz w:val="18"/>
                <w:szCs w:val="18"/>
                <w:lang w:val="en-US"/>
              </w:rPr>
              <w:t>nerambursare</w:t>
            </w:r>
            <w:proofErr w:type="spellEnd"/>
            <w:r w:rsidRPr="00DB5AA7">
              <w:rPr>
                <w:sz w:val="18"/>
                <w:szCs w:val="18"/>
                <w:lang w:val="en-US"/>
              </w:rPr>
              <w:t xml:space="preserve"> </w:t>
            </w:r>
            <w:proofErr w:type="spellStart"/>
            <w:r w:rsidRPr="00DB5AA7">
              <w:rPr>
                <w:sz w:val="18"/>
                <w:szCs w:val="18"/>
                <w:lang w:val="en-US"/>
              </w:rPr>
              <w:t>tuturor</w:t>
            </w:r>
            <w:proofErr w:type="spellEnd"/>
            <w:r w:rsidRPr="00DB5AA7">
              <w:rPr>
                <w:sz w:val="18"/>
                <w:szCs w:val="18"/>
                <w:lang w:val="en-US"/>
              </w:rPr>
              <w:t xml:space="preserve"> </w:t>
            </w:r>
            <w:proofErr w:type="spellStart"/>
            <w:r w:rsidRPr="00DB5AA7">
              <w:rPr>
                <w:sz w:val="18"/>
                <w:szCs w:val="18"/>
                <w:lang w:val="en-US"/>
              </w:rPr>
              <w:t>expunerilor</w:t>
            </w:r>
            <w:proofErr w:type="spellEnd"/>
            <w:r w:rsidRPr="00DB5AA7">
              <w:rPr>
                <w:sz w:val="18"/>
                <w:szCs w:val="18"/>
                <w:lang w:val="en-US"/>
              </w:rPr>
              <w:t xml:space="preserve"> de </w:t>
            </w:r>
            <w:proofErr w:type="spellStart"/>
            <w:r w:rsidRPr="00DB5AA7">
              <w:rPr>
                <w:sz w:val="18"/>
                <w:szCs w:val="18"/>
                <w:lang w:val="en-US"/>
              </w:rPr>
              <w:t>acest</w:t>
            </w:r>
            <w:proofErr w:type="spellEnd"/>
            <w:r w:rsidRPr="00DB5AA7">
              <w:rPr>
                <w:sz w:val="18"/>
                <w:szCs w:val="18"/>
                <w:lang w:val="en-US"/>
              </w:rPr>
              <w:t xml:space="preserve"> tip. </w:t>
            </w:r>
            <w:proofErr w:type="spellStart"/>
            <w:r w:rsidRPr="00DB5AA7">
              <w:rPr>
                <w:sz w:val="18"/>
                <w:szCs w:val="18"/>
                <w:lang w:val="en-US"/>
              </w:rPr>
              <w:t>Alternativ</w:t>
            </w:r>
            <w:proofErr w:type="spellEnd"/>
            <w:r w:rsidRPr="00DB5AA7">
              <w:rPr>
                <w:sz w:val="18"/>
                <w:szCs w:val="18"/>
                <w:lang w:val="en-US"/>
              </w:rPr>
              <w:t xml:space="preserve">, o </w:t>
            </w:r>
            <w:proofErr w:type="spellStart"/>
            <w:r w:rsidRPr="00DB5AA7">
              <w:rPr>
                <w:sz w:val="18"/>
                <w:szCs w:val="18"/>
                <w:lang w:val="en-US"/>
              </w:rPr>
              <w:t>instituţie</w:t>
            </w:r>
            <w:proofErr w:type="spellEnd"/>
            <w:r w:rsidRPr="00DB5AA7">
              <w:rPr>
                <w:sz w:val="18"/>
                <w:szCs w:val="18"/>
                <w:lang w:val="en-US"/>
              </w:rPr>
              <w:t xml:space="preserve"> care </w:t>
            </w:r>
            <w:proofErr w:type="spellStart"/>
            <w:r w:rsidRPr="00DB5AA7">
              <w:rPr>
                <w:sz w:val="18"/>
                <w:szCs w:val="18"/>
                <w:lang w:val="en-US"/>
              </w:rPr>
              <w:t>utilizează</w:t>
            </w:r>
            <w:proofErr w:type="spellEnd"/>
            <w:r w:rsidRPr="00DB5AA7">
              <w:rPr>
                <w:sz w:val="18"/>
                <w:szCs w:val="18"/>
                <w:lang w:val="en-US"/>
              </w:rPr>
              <w:t xml:space="preserve"> </w:t>
            </w:r>
            <w:proofErr w:type="spellStart"/>
            <w:r w:rsidRPr="00DB5AA7">
              <w:rPr>
                <w:sz w:val="18"/>
                <w:szCs w:val="18"/>
                <w:lang w:val="en-US"/>
              </w:rPr>
              <w:t>abordarea</w:t>
            </w:r>
            <w:proofErr w:type="spellEnd"/>
            <w:r w:rsidRPr="00DB5AA7">
              <w:rPr>
                <w:sz w:val="18"/>
                <w:szCs w:val="18"/>
                <w:lang w:val="en-US"/>
              </w:rPr>
              <w:t xml:space="preserve"> IRB </w:t>
            </w:r>
            <w:proofErr w:type="spellStart"/>
            <w:r w:rsidRPr="00DB5AA7">
              <w:rPr>
                <w:sz w:val="18"/>
                <w:szCs w:val="18"/>
                <w:lang w:val="en-US"/>
              </w:rPr>
              <w:t>prevăzută</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partea</w:t>
            </w:r>
            <w:proofErr w:type="spellEnd"/>
            <w:r w:rsidRPr="00DB5AA7">
              <w:rPr>
                <w:sz w:val="18"/>
                <w:szCs w:val="18"/>
                <w:lang w:val="en-US"/>
              </w:rPr>
              <w:t xml:space="preserve"> a </w:t>
            </w:r>
            <w:proofErr w:type="spellStart"/>
            <w:r w:rsidRPr="00DB5AA7">
              <w:rPr>
                <w:sz w:val="18"/>
                <w:szCs w:val="18"/>
                <w:lang w:val="en-US"/>
              </w:rPr>
              <w:t>treia</w:t>
            </w:r>
            <w:proofErr w:type="spellEnd"/>
            <w:r w:rsidRPr="00DB5AA7">
              <w:rPr>
                <w:sz w:val="18"/>
                <w:szCs w:val="18"/>
                <w:lang w:val="en-US"/>
              </w:rPr>
              <w:t xml:space="preserve"> </w:t>
            </w:r>
            <w:proofErr w:type="spellStart"/>
            <w:r w:rsidRPr="00DB5AA7">
              <w:rPr>
                <w:sz w:val="18"/>
                <w:szCs w:val="18"/>
                <w:lang w:val="en-US"/>
              </w:rPr>
              <w:t>titlul</w:t>
            </w:r>
            <w:proofErr w:type="spellEnd"/>
            <w:r w:rsidRPr="00DB5AA7">
              <w:rPr>
                <w:sz w:val="18"/>
                <w:szCs w:val="18"/>
                <w:lang w:val="en-US"/>
              </w:rPr>
              <w:t xml:space="preserve"> II </w:t>
            </w:r>
            <w:proofErr w:type="spellStart"/>
            <w:r w:rsidRPr="00DB5AA7">
              <w:rPr>
                <w:sz w:val="18"/>
                <w:szCs w:val="18"/>
                <w:lang w:val="en-US"/>
              </w:rPr>
              <w:t>capitolul</w:t>
            </w:r>
            <w:proofErr w:type="spellEnd"/>
            <w:r w:rsidRPr="00DB5AA7">
              <w:rPr>
                <w:sz w:val="18"/>
                <w:szCs w:val="18"/>
                <w:lang w:val="en-US"/>
              </w:rPr>
              <w:t xml:space="preserve"> 3 </w:t>
            </w:r>
            <w:proofErr w:type="spellStart"/>
            <w:r w:rsidRPr="00DB5AA7">
              <w:rPr>
                <w:sz w:val="18"/>
                <w:szCs w:val="18"/>
                <w:lang w:val="en-US"/>
              </w:rPr>
              <w:t>poate</w:t>
            </w:r>
            <w:proofErr w:type="spellEnd"/>
            <w:r w:rsidRPr="00DB5AA7">
              <w:rPr>
                <w:sz w:val="18"/>
                <w:szCs w:val="18"/>
                <w:lang w:val="en-US"/>
              </w:rPr>
              <w:t xml:space="preserve"> </w:t>
            </w:r>
            <w:proofErr w:type="spellStart"/>
            <w:r w:rsidRPr="00DB5AA7">
              <w:rPr>
                <w:sz w:val="18"/>
                <w:szCs w:val="18"/>
                <w:lang w:val="en-US"/>
              </w:rPr>
              <w:t>aplica</w:t>
            </w:r>
            <w:proofErr w:type="spellEnd"/>
            <w:r w:rsidRPr="00DB5AA7">
              <w:rPr>
                <w:sz w:val="18"/>
                <w:szCs w:val="18"/>
                <w:lang w:val="en-US"/>
              </w:rPr>
              <w:t xml:space="preserve"> </w:t>
            </w:r>
            <w:proofErr w:type="spellStart"/>
            <w:r w:rsidRPr="00DB5AA7">
              <w:rPr>
                <w:sz w:val="18"/>
                <w:szCs w:val="18"/>
                <w:lang w:val="en-US"/>
              </w:rPr>
              <w:t>ponderile</w:t>
            </w:r>
            <w:proofErr w:type="spellEnd"/>
            <w:r w:rsidRPr="00DB5AA7">
              <w:rPr>
                <w:sz w:val="18"/>
                <w:szCs w:val="18"/>
                <w:lang w:val="en-US"/>
              </w:rPr>
              <w:t xml:space="preserve"> de </w:t>
            </w:r>
            <w:proofErr w:type="spellStart"/>
            <w:r w:rsidRPr="00DB5AA7">
              <w:rPr>
                <w:sz w:val="18"/>
                <w:szCs w:val="18"/>
                <w:lang w:val="en-US"/>
              </w:rPr>
              <w:t>risc</w:t>
            </w:r>
            <w:proofErr w:type="spellEnd"/>
            <w:r w:rsidRPr="00DB5AA7">
              <w:rPr>
                <w:sz w:val="18"/>
                <w:szCs w:val="18"/>
                <w:lang w:val="en-US"/>
              </w:rPr>
              <w:t xml:space="preserve"> ale </w:t>
            </w:r>
            <w:proofErr w:type="spellStart"/>
            <w:r w:rsidRPr="00DB5AA7">
              <w:rPr>
                <w:sz w:val="18"/>
                <w:szCs w:val="18"/>
                <w:lang w:val="en-US"/>
              </w:rPr>
              <w:t>abordării</w:t>
            </w:r>
            <w:proofErr w:type="spellEnd"/>
            <w:r w:rsidRPr="00DB5AA7">
              <w:rPr>
                <w:sz w:val="18"/>
                <w:szCs w:val="18"/>
                <w:lang w:val="en-US"/>
              </w:rPr>
              <w:t xml:space="preserve"> </w:t>
            </w:r>
            <w:proofErr w:type="spellStart"/>
            <w:r w:rsidRPr="00DB5AA7">
              <w:rPr>
                <w:sz w:val="18"/>
                <w:szCs w:val="18"/>
                <w:lang w:val="en-US"/>
              </w:rPr>
              <w:t>standardizate</w:t>
            </w:r>
            <w:proofErr w:type="spellEnd"/>
            <w:r w:rsidRPr="00DB5AA7">
              <w:rPr>
                <w:sz w:val="18"/>
                <w:szCs w:val="18"/>
                <w:lang w:val="en-US"/>
              </w:rPr>
              <w:t xml:space="preserve">, </w:t>
            </w:r>
            <w:proofErr w:type="spellStart"/>
            <w:r w:rsidRPr="00DB5AA7">
              <w:rPr>
                <w:sz w:val="18"/>
                <w:szCs w:val="18"/>
                <w:lang w:val="en-US"/>
              </w:rPr>
              <w:t>așa</w:t>
            </w:r>
            <w:proofErr w:type="spellEnd"/>
            <w:r w:rsidRPr="00DB5AA7">
              <w:rPr>
                <w:sz w:val="18"/>
                <w:szCs w:val="18"/>
                <w:lang w:val="en-US"/>
              </w:rPr>
              <w:t xml:space="preserve"> cum </w:t>
            </w:r>
            <w:proofErr w:type="spellStart"/>
            <w:r w:rsidRPr="00DB5AA7">
              <w:rPr>
                <w:sz w:val="18"/>
                <w:szCs w:val="18"/>
                <w:lang w:val="en-US"/>
              </w:rPr>
              <w:t>este</w:t>
            </w:r>
            <w:proofErr w:type="spellEnd"/>
            <w:r w:rsidRPr="00DB5AA7">
              <w:rPr>
                <w:sz w:val="18"/>
                <w:szCs w:val="18"/>
                <w:lang w:val="en-US"/>
              </w:rPr>
              <w:t xml:space="preserve"> </w:t>
            </w:r>
            <w:proofErr w:type="spellStart"/>
            <w:r w:rsidRPr="00DB5AA7">
              <w:rPr>
                <w:sz w:val="18"/>
                <w:szCs w:val="18"/>
                <w:lang w:val="en-US"/>
              </w:rPr>
              <w:t>prevăzut</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partea</w:t>
            </w:r>
            <w:proofErr w:type="spellEnd"/>
            <w:r w:rsidRPr="00DB5AA7">
              <w:rPr>
                <w:sz w:val="18"/>
                <w:szCs w:val="18"/>
                <w:lang w:val="en-US"/>
              </w:rPr>
              <w:t xml:space="preserve"> a </w:t>
            </w:r>
            <w:proofErr w:type="spellStart"/>
            <w:r w:rsidRPr="00DB5AA7">
              <w:rPr>
                <w:sz w:val="18"/>
                <w:szCs w:val="18"/>
                <w:lang w:val="en-US"/>
              </w:rPr>
              <w:t>treia</w:t>
            </w:r>
            <w:proofErr w:type="spellEnd"/>
            <w:r w:rsidRPr="00DB5AA7">
              <w:rPr>
                <w:sz w:val="18"/>
                <w:szCs w:val="18"/>
                <w:lang w:val="en-US"/>
              </w:rPr>
              <w:t xml:space="preserve"> </w:t>
            </w:r>
            <w:proofErr w:type="spellStart"/>
            <w:r w:rsidRPr="00DB5AA7">
              <w:rPr>
                <w:sz w:val="18"/>
                <w:szCs w:val="18"/>
                <w:lang w:val="en-US"/>
              </w:rPr>
              <w:t>titlul</w:t>
            </w:r>
            <w:proofErr w:type="spellEnd"/>
            <w:r w:rsidRPr="00DB5AA7">
              <w:rPr>
                <w:sz w:val="18"/>
                <w:szCs w:val="18"/>
                <w:lang w:val="en-US"/>
              </w:rPr>
              <w:t xml:space="preserve"> II </w:t>
            </w:r>
            <w:proofErr w:type="spellStart"/>
            <w:r w:rsidRPr="00DB5AA7">
              <w:rPr>
                <w:sz w:val="18"/>
                <w:szCs w:val="18"/>
                <w:lang w:val="en-US"/>
              </w:rPr>
              <w:t>capitolul</w:t>
            </w:r>
            <w:proofErr w:type="spellEnd"/>
            <w:r w:rsidRPr="00DB5AA7">
              <w:rPr>
                <w:sz w:val="18"/>
                <w:szCs w:val="18"/>
                <w:lang w:val="en-US"/>
              </w:rPr>
              <w:t xml:space="preserve"> 2, cu </w:t>
            </w:r>
            <w:proofErr w:type="spellStart"/>
            <w:r w:rsidRPr="00DB5AA7">
              <w:rPr>
                <w:sz w:val="18"/>
                <w:szCs w:val="18"/>
                <w:lang w:val="en-US"/>
              </w:rPr>
              <w:t>condiţia</w:t>
            </w:r>
            <w:proofErr w:type="spellEnd"/>
            <w:r w:rsidRPr="00DB5AA7">
              <w:rPr>
                <w:sz w:val="18"/>
                <w:szCs w:val="18"/>
                <w:lang w:val="en-US"/>
              </w:rPr>
              <w:t xml:space="preserve"> </w:t>
            </w:r>
            <w:proofErr w:type="spellStart"/>
            <w:r w:rsidRPr="00DB5AA7">
              <w:rPr>
                <w:sz w:val="18"/>
                <w:szCs w:val="18"/>
                <w:lang w:val="en-US"/>
              </w:rPr>
              <w:t>să</w:t>
            </w:r>
            <w:proofErr w:type="spellEnd"/>
            <w:r w:rsidRPr="00DB5AA7">
              <w:rPr>
                <w:sz w:val="18"/>
                <w:szCs w:val="18"/>
                <w:lang w:val="en-US"/>
              </w:rPr>
              <w:t xml:space="preserve"> le </w:t>
            </w:r>
            <w:proofErr w:type="spellStart"/>
            <w:r w:rsidRPr="00DB5AA7">
              <w:rPr>
                <w:sz w:val="18"/>
                <w:szCs w:val="18"/>
                <w:lang w:val="en-US"/>
              </w:rPr>
              <w:t>aplice</w:t>
            </w:r>
            <w:proofErr w:type="spellEnd"/>
            <w:r w:rsidRPr="00DB5AA7">
              <w:rPr>
                <w:sz w:val="18"/>
                <w:szCs w:val="18"/>
                <w:lang w:val="en-US"/>
              </w:rPr>
              <w:t xml:space="preserve"> </w:t>
            </w:r>
            <w:proofErr w:type="spellStart"/>
            <w:r w:rsidRPr="00DB5AA7">
              <w:rPr>
                <w:sz w:val="18"/>
                <w:szCs w:val="18"/>
                <w:lang w:val="en-US"/>
              </w:rPr>
              <w:t>tuturor</w:t>
            </w:r>
            <w:proofErr w:type="spellEnd"/>
            <w:r w:rsidRPr="00DB5AA7">
              <w:rPr>
                <w:sz w:val="18"/>
                <w:szCs w:val="18"/>
                <w:lang w:val="en-US"/>
              </w:rPr>
              <w:t xml:space="preserve"> </w:t>
            </w:r>
            <w:proofErr w:type="spellStart"/>
            <w:r w:rsidRPr="00DB5AA7">
              <w:rPr>
                <w:sz w:val="18"/>
                <w:szCs w:val="18"/>
                <w:lang w:val="en-US"/>
              </w:rPr>
              <w:t>expunerilor</w:t>
            </w:r>
            <w:proofErr w:type="spellEnd"/>
            <w:r w:rsidRPr="00DB5AA7">
              <w:rPr>
                <w:sz w:val="18"/>
                <w:szCs w:val="18"/>
                <w:lang w:val="en-US"/>
              </w:rPr>
              <w:t xml:space="preserve"> de </w:t>
            </w:r>
            <w:proofErr w:type="spellStart"/>
            <w:r w:rsidRPr="00DB5AA7">
              <w:rPr>
                <w:sz w:val="18"/>
                <w:szCs w:val="18"/>
                <w:lang w:val="en-US"/>
              </w:rPr>
              <w:t>acest</w:t>
            </w:r>
            <w:proofErr w:type="spellEnd"/>
            <w:r w:rsidRPr="00DB5AA7">
              <w:rPr>
                <w:sz w:val="18"/>
                <w:szCs w:val="18"/>
                <w:lang w:val="en-US"/>
              </w:rPr>
              <w:t xml:space="preserve"> tip, </w:t>
            </w:r>
            <w:proofErr w:type="spellStart"/>
            <w:r w:rsidRPr="00DB5AA7">
              <w:rPr>
                <w:sz w:val="18"/>
                <w:szCs w:val="18"/>
                <w:lang w:val="en-US"/>
              </w:rPr>
              <w:t>sau</w:t>
            </w:r>
            <w:proofErr w:type="spellEnd"/>
            <w:r w:rsidRPr="00DB5AA7">
              <w:rPr>
                <w:sz w:val="18"/>
                <w:szCs w:val="18"/>
                <w:lang w:val="en-US"/>
              </w:rPr>
              <w:t xml:space="preserve"> </w:t>
            </w:r>
            <w:proofErr w:type="spellStart"/>
            <w:r w:rsidRPr="00DB5AA7">
              <w:rPr>
                <w:sz w:val="18"/>
                <w:szCs w:val="18"/>
                <w:lang w:val="en-US"/>
              </w:rPr>
              <w:t>poate</w:t>
            </w:r>
            <w:proofErr w:type="spellEnd"/>
            <w:r w:rsidRPr="00DB5AA7">
              <w:rPr>
                <w:sz w:val="18"/>
                <w:szCs w:val="18"/>
                <w:lang w:val="en-US"/>
              </w:rPr>
              <w:t xml:space="preserve"> </w:t>
            </w:r>
            <w:proofErr w:type="spellStart"/>
            <w:r w:rsidRPr="00DB5AA7">
              <w:rPr>
                <w:sz w:val="18"/>
                <w:szCs w:val="18"/>
                <w:lang w:val="en-US"/>
              </w:rPr>
              <w:t>aplica</w:t>
            </w:r>
            <w:proofErr w:type="spellEnd"/>
            <w:r w:rsidRPr="00DB5AA7">
              <w:rPr>
                <w:sz w:val="18"/>
                <w:szCs w:val="18"/>
                <w:lang w:val="en-US"/>
              </w:rPr>
              <w:t xml:space="preserve"> o </w:t>
            </w:r>
            <w:proofErr w:type="spellStart"/>
            <w:r w:rsidRPr="00DB5AA7">
              <w:rPr>
                <w:sz w:val="18"/>
                <w:szCs w:val="18"/>
                <w:lang w:val="en-US"/>
              </w:rPr>
              <w:t>pondere</w:t>
            </w:r>
            <w:proofErr w:type="spellEnd"/>
            <w:r w:rsidRPr="00DB5AA7">
              <w:rPr>
                <w:sz w:val="18"/>
                <w:szCs w:val="18"/>
                <w:lang w:val="en-US"/>
              </w:rPr>
              <w:t xml:space="preserve"> de </w:t>
            </w:r>
            <w:proofErr w:type="spellStart"/>
            <w:r w:rsidRPr="00DB5AA7">
              <w:rPr>
                <w:sz w:val="18"/>
                <w:szCs w:val="18"/>
                <w:lang w:val="en-US"/>
              </w:rPr>
              <w:t>risc</w:t>
            </w:r>
            <w:proofErr w:type="spellEnd"/>
            <w:r w:rsidRPr="00DB5AA7">
              <w:rPr>
                <w:sz w:val="18"/>
                <w:szCs w:val="18"/>
                <w:lang w:val="en-US"/>
              </w:rPr>
              <w:t xml:space="preserve"> de 100 % </w:t>
            </w:r>
            <w:proofErr w:type="spellStart"/>
            <w:r w:rsidRPr="00DB5AA7">
              <w:rPr>
                <w:sz w:val="18"/>
                <w:szCs w:val="18"/>
                <w:lang w:val="en-US"/>
              </w:rPr>
              <w:t>tuturor</w:t>
            </w:r>
            <w:proofErr w:type="spellEnd"/>
            <w:r w:rsidRPr="00DB5AA7">
              <w:rPr>
                <w:sz w:val="18"/>
                <w:szCs w:val="18"/>
                <w:lang w:val="en-US"/>
              </w:rPr>
              <w:t xml:space="preserve"> </w:t>
            </w:r>
            <w:proofErr w:type="spellStart"/>
            <w:r w:rsidRPr="00DB5AA7">
              <w:rPr>
                <w:sz w:val="18"/>
                <w:szCs w:val="18"/>
                <w:lang w:val="en-US"/>
              </w:rPr>
              <w:t>expunerilor</w:t>
            </w:r>
            <w:proofErr w:type="spellEnd"/>
            <w:r w:rsidRPr="00DB5AA7">
              <w:rPr>
                <w:sz w:val="18"/>
                <w:szCs w:val="18"/>
                <w:lang w:val="en-US"/>
              </w:rPr>
              <w:t xml:space="preserve"> de </w:t>
            </w:r>
            <w:proofErr w:type="spellStart"/>
            <w:r w:rsidRPr="00DB5AA7">
              <w:rPr>
                <w:sz w:val="18"/>
                <w:szCs w:val="18"/>
                <w:lang w:val="en-US"/>
              </w:rPr>
              <w:t>acest</w:t>
            </w:r>
            <w:proofErr w:type="spellEnd"/>
            <w:r w:rsidRPr="00DB5AA7">
              <w:rPr>
                <w:sz w:val="18"/>
                <w:szCs w:val="18"/>
                <w:lang w:val="en-US"/>
              </w:rPr>
              <w:t xml:space="preserve"> tip. </w:t>
            </w:r>
          </w:p>
          <w:p w14:paraId="0157D1EE" w14:textId="13D38261" w:rsidR="009E142A" w:rsidRDefault="009E142A" w:rsidP="009E142A">
            <w:pPr>
              <w:rPr>
                <w:sz w:val="18"/>
                <w:szCs w:val="18"/>
                <w:lang w:val="en-US"/>
              </w:rPr>
            </w:pPr>
            <w:proofErr w:type="spellStart"/>
            <w:r w:rsidRPr="00DB5AA7">
              <w:rPr>
                <w:sz w:val="18"/>
                <w:szCs w:val="18"/>
                <w:lang w:val="en-US"/>
              </w:rPr>
              <w:t>Dacă</w:t>
            </w:r>
            <w:proofErr w:type="spellEnd"/>
            <w:r w:rsidRPr="00DB5AA7">
              <w:rPr>
                <w:sz w:val="18"/>
                <w:szCs w:val="18"/>
                <w:lang w:val="en-US"/>
              </w:rPr>
              <w:t xml:space="preserve"> </w:t>
            </w:r>
            <w:proofErr w:type="spellStart"/>
            <w:r w:rsidRPr="00DB5AA7">
              <w:rPr>
                <w:sz w:val="18"/>
                <w:szCs w:val="18"/>
                <w:lang w:val="en-US"/>
              </w:rPr>
              <w:t>nivelul</w:t>
            </w:r>
            <w:proofErr w:type="spellEnd"/>
            <w:r w:rsidRPr="00DB5AA7">
              <w:rPr>
                <w:sz w:val="18"/>
                <w:szCs w:val="18"/>
                <w:lang w:val="en-US"/>
              </w:rPr>
              <w:t xml:space="preserve"> </w:t>
            </w:r>
            <w:proofErr w:type="spellStart"/>
            <w:r w:rsidRPr="00DB5AA7">
              <w:rPr>
                <w:sz w:val="18"/>
                <w:szCs w:val="18"/>
                <w:lang w:val="en-US"/>
              </w:rPr>
              <w:t>expunerii</w:t>
            </w:r>
            <w:proofErr w:type="spellEnd"/>
            <w:r w:rsidRPr="00DB5AA7">
              <w:rPr>
                <w:sz w:val="18"/>
                <w:szCs w:val="18"/>
                <w:lang w:val="en-US"/>
              </w:rPr>
              <w:t xml:space="preserve"> </w:t>
            </w:r>
            <w:proofErr w:type="spellStart"/>
            <w:r w:rsidRPr="00DB5AA7">
              <w:rPr>
                <w:sz w:val="18"/>
                <w:szCs w:val="18"/>
                <w:lang w:val="en-US"/>
              </w:rPr>
              <w:t>pozitive</w:t>
            </w:r>
            <w:proofErr w:type="spellEnd"/>
            <w:r w:rsidRPr="00DB5AA7">
              <w:rPr>
                <w:sz w:val="18"/>
                <w:szCs w:val="18"/>
                <w:lang w:val="en-US"/>
              </w:rPr>
              <w:t xml:space="preserve"> </w:t>
            </w:r>
            <w:proofErr w:type="spellStart"/>
            <w:r w:rsidRPr="00DB5AA7">
              <w:rPr>
                <w:sz w:val="18"/>
                <w:szCs w:val="18"/>
                <w:lang w:val="en-US"/>
              </w:rPr>
              <w:t>ce</w:t>
            </w:r>
            <w:proofErr w:type="spellEnd"/>
            <w:r w:rsidRPr="00DB5AA7">
              <w:rPr>
                <w:sz w:val="18"/>
                <w:szCs w:val="18"/>
                <w:lang w:val="en-US"/>
              </w:rPr>
              <w:t xml:space="preserve"> </w:t>
            </w:r>
            <w:proofErr w:type="spellStart"/>
            <w:r w:rsidRPr="00DB5AA7">
              <w:rPr>
                <w:sz w:val="18"/>
                <w:szCs w:val="18"/>
                <w:lang w:val="en-US"/>
              </w:rPr>
              <w:t>rezultă</w:t>
            </w:r>
            <w:proofErr w:type="spellEnd"/>
            <w:r w:rsidRPr="00DB5AA7">
              <w:rPr>
                <w:sz w:val="18"/>
                <w:szCs w:val="18"/>
                <w:lang w:val="en-US"/>
              </w:rPr>
              <w:t xml:space="preserve"> din </w:t>
            </w:r>
            <w:proofErr w:type="spellStart"/>
            <w:r w:rsidRPr="00DB5AA7">
              <w:rPr>
                <w:sz w:val="18"/>
                <w:szCs w:val="18"/>
                <w:lang w:val="en-US"/>
              </w:rPr>
              <w:t>tranzacţii</w:t>
            </w:r>
            <w:proofErr w:type="spellEnd"/>
            <w:r w:rsidRPr="00DB5AA7">
              <w:rPr>
                <w:sz w:val="18"/>
                <w:szCs w:val="18"/>
                <w:lang w:val="en-US"/>
              </w:rPr>
              <w:t xml:space="preserve"> incomplete nu </w:t>
            </w:r>
            <w:proofErr w:type="spellStart"/>
            <w:r w:rsidRPr="00DB5AA7">
              <w:rPr>
                <w:sz w:val="18"/>
                <w:szCs w:val="18"/>
                <w:lang w:val="en-US"/>
              </w:rPr>
              <w:t>este</w:t>
            </w:r>
            <w:proofErr w:type="spellEnd"/>
            <w:r w:rsidRPr="00DB5AA7">
              <w:rPr>
                <w:sz w:val="18"/>
                <w:szCs w:val="18"/>
                <w:lang w:val="en-US"/>
              </w:rPr>
              <w:t xml:space="preserve"> </w:t>
            </w:r>
            <w:proofErr w:type="spellStart"/>
            <w:r w:rsidRPr="00DB5AA7">
              <w:rPr>
                <w:sz w:val="18"/>
                <w:szCs w:val="18"/>
                <w:lang w:val="en-US"/>
              </w:rPr>
              <w:t>semnificativ</w:t>
            </w:r>
            <w:proofErr w:type="spellEnd"/>
            <w:r w:rsidRPr="00DB5AA7">
              <w:rPr>
                <w:sz w:val="18"/>
                <w:szCs w:val="18"/>
                <w:lang w:val="en-US"/>
              </w:rPr>
              <w:t xml:space="preserve">, </w:t>
            </w:r>
            <w:proofErr w:type="spellStart"/>
            <w:r w:rsidRPr="00DB5AA7">
              <w:rPr>
                <w:sz w:val="18"/>
                <w:szCs w:val="18"/>
                <w:lang w:val="en-US"/>
              </w:rPr>
              <w:t>instituţiile</w:t>
            </w:r>
            <w:proofErr w:type="spellEnd"/>
            <w:r w:rsidRPr="00DB5AA7">
              <w:rPr>
                <w:sz w:val="18"/>
                <w:szCs w:val="18"/>
                <w:lang w:val="en-US"/>
              </w:rPr>
              <w:t xml:space="preserve"> pot </w:t>
            </w:r>
            <w:proofErr w:type="spellStart"/>
            <w:r w:rsidRPr="00DB5AA7">
              <w:rPr>
                <w:sz w:val="18"/>
                <w:szCs w:val="18"/>
                <w:lang w:val="en-US"/>
              </w:rPr>
              <w:t>aplica</w:t>
            </w:r>
            <w:proofErr w:type="spellEnd"/>
            <w:r w:rsidRPr="00DB5AA7">
              <w:rPr>
                <w:sz w:val="18"/>
                <w:szCs w:val="18"/>
                <w:lang w:val="en-US"/>
              </w:rPr>
              <w:t xml:space="preserve"> </w:t>
            </w:r>
            <w:proofErr w:type="spellStart"/>
            <w:r w:rsidRPr="00DB5AA7">
              <w:rPr>
                <w:sz w:val="18"/>
                <w:szCs w:val="18"/>
                <w:lang w:val="en-US"/>
              </w:rPr>
              <w:t>acestor</w:t>
            </w:r>
            <w:proofErr w:type="spellEnd"/>
            <w:r w:rsidRPr="00DB5AA7">
              <w:rPr>
                <w:sz w:val="18"/>
                <w:szCs w:val="18"/>
                <w:lang w:val="en-US"/>
              </w:rPr>
              <w:t xml:space="preserve"> </w:t>
            </w:r>
            <w:proofErr w:type="spellStart"/>
            <w:r w:rsidRPr="00DB5AA7">
              <w:rPr>
                <w:sz w:val="18"/>
                <w:szCs w:val="18"/>
                <w:lang w:val="en-US"/>
              </w:rPr>
              <w:t>expuneri</w:t>
            </w:r>
            <w:proofErr w:type="spellEnd"/>
            <w:r w:rsidRPr="00DB5AA7">
              <w:rPr>
                <w:sz w:val="18"/>
                <w:szCs w:val="18"/>
                <w:lang w:val="en-US"/>
              </w:rPr>
              <w:t xml:space="preserve"> o </w:t>
            </w:r>
            <w:proofErr w:type="spellStart"/>
            <w:r w:rsidRPr="00DB5AA7">
              <w:rPr>
                <w:sz w:val="18"/>
                <w:szCs w:val="18"/>
                <w:lang w:val="en-US"/>
              </w:rPr>
              <w:t>pondere</w:t>
            </w:r>
            <w:proofErr w:type="spellEnd"/>
            <w:r w:rsidRPr="00DB5AA7">
              <w:rPr>
                <w:sz w:val="18"/>
                <w:szCs w:val="18"/>
                <w:lang w:val="en-US"/>
              </w:rPr>
              <w:t xml:space="preserve"> de </w:t>
            </w:r>
            <w:proofErr w:type="spellStart"/>
            <w:r w:rsidRPr="00DB5AA7">
              <w:rPr>
                <w:sz w:val="18"/>
                <w:szCs w:val="18"/>
                <w:lang w:val="en-US"/>
              </w:rPr>
              <w:t>risc</w:t>
            </w:r>
            <w:proofErr w:type="spellEnd"/>
            <w:r w:rsidRPr="00DB5AA7">
              <w:rPr>
                <w:sz w:val="18"/>
                <w:szCs w:val="18"/>
                <w:lang w:val="en-US"/>
              </w:rPr>
              <w:t xml:space="preserve"> de 100 %, cu </w:t>
            </w:r>
            <w:proofErr w:type="spellStart"/>
            <w:r w:rsidRPr="00DB5AA7">
              <w:rPr>
                <w:sz w:val="18"/>
                <w:szCs w:val="18"/>
                <w:lang w:val="en-US"/>
              </w:rPr>
              <w:t>excepţia</w:t>
            </w:r>
            <w:proofErr w:type="spellEnd"/>
            <w:r w:rsidRPr="00DB5AA7">
              <w:rPr>
                <w:sz w:val="18"/>
                <w:szCs w:val="18"/>
                <w:lang w:val="en-US"/>
              </w:rPr>
              <w:t xml:space="preserve"> </w:t>
            </w:r>
            <w:proofErr w:type="spellStart"/>
            <w:r w:rsidRPr="00DB5AA7">
              <w:rPr>
                <w:sz w:val="18"/>
                <w:szCs w:val="18"/>
                <w:lang w:val="en-US"/>
              </w:rPr>
              <w:t>cazului</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care </w:t>
            </w:r>
            <w:proofErr w:type="spellStart"/>
            <w:r w:rsidRPr="00DB5AA7">
              <w:rPr>
                <w:sz w:val="18"/>
                <w:szCs w:val="18"/>
                <w:lang w:val="en-US"/>
              </w:rPr>
              <w:t>este</w:t>
            </w:r>
            <w:proofErr w:type="spellEnd"/>
            <w:r w:rsidRPr="00DB5AA7">
              <w:rPr>
                <w:sz w:val="18"/>
                <w:szCs w:val="18"/>
                <w:lang w:val="en-US"/>
              </w:rPr>
              <w:t xml:space="preserve"> </w:t>
            </w:r>
            <w:proofErr w:type="spellStart"/>
            <w:r w:rsidRPr="00DB5AA7">
              <w:rPr>
                <w:sz w:val="18"/>
                <w:szCs w:val="18"/>
                <w:lang w:val="en-US"/>
              </w:rPr>
              <w:t>necesară</w:t>
            </w:r>
            <w:proofErr w:type="spellEnd"/>
            <w:r w:rsidRPr="00DB5AA7">
              <w:rPr>
                <w:sz w:val="18"/>
                <w:szCs w:val="18"/>
                <w:lang w:val="en-US"/>
              </w:rPr>
              <w:t xml:space="preserve"> o </w:t>
            </w:r>
            <w:proofErr w:type="spellStart"/>
            <w:r w:rsidRPr="00DB5AA7">
              <w:rPr>
                <w:sz w:val="18"/>
                <w:szCs w:val="18"/>
                <w:lang w:val="en-US"/>
              </w:rPr>
              <w:t>pondere</w:t>
            </w:r>
            <w:proofErr w:type="spellEnd"/>
            <w:r w:rsidRPr="00DB5AA7">
              <w:rPr>
                <w:sz w:val="18"/>
                <w:szCs w:val="18"/>
                <w:lang w:val="en-US"/>
              </w:rPr>
              <w:t xml:space="preserve"> de </w:t>
            </w:r>
            <w:proofErr w:type="spellStart"/>
            <w:r w:rsidRPr="00DB5AA7">
              <w:rPr>
                <w:sz w:val="18"/>
                <w:szCs w:val="18"/>
                <w:lang w:val="en-US"/>
              </w:rPr>
              <w:t>risc</w:t>
            </w:r>
            <w:proofErr w:type="spellEnd"/>
            <w:r w:rsidRPr="00DB5AA7">
              <w:rPr>
                <w:sz w:val="18"/>
                <w:szCs w:val="18"/>
                <w:lang w:val="en-US"/>
              </w:rPr>
              <w:t xml:space="preserve"> de 1 250 %,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conformitate</w:t>
            </w:r>
            <w:proofErr w:type="spellEnd"/>
            <w:r w:rsidRPr="00DB5AA7">
              <w:rPr>
                <w:sz w:val="18"/>
                <w:szCs w:val="18"/>
                <w:lang w:val="en-US"/>
              </w:rPr>
              <w:t xml:space="preserve"> cu </w:t>
            </w:r>
            <w:proofErr w:type="spellStart"/>
            <w:r w:rsidRPr="00DB5AA7">
              <w:rPr>
                <w:sz w:val="18"/>
                <w:szCs w:val="18"/>
                <w:lang w:val="en-US"/>
              </w:rPr>
              <w:t>coloana</w:t>
            </w:r>
            <w:proofErr w:type="spellEnd"/>
            <w:r w:rsidRPr="00DB5AA7">
              <w:rPr>
                <w:sz w:val="18"/>
                <w:szCs w:val="18"/>
                <w:lang w:val="en-US"/>
              </w:rPr>
              <w:t xml:space="preserve"> 4 din </w:t>
            </w:r>
            <w:proofErr w:type="spellStart"/>
            <w:r w:rsidRPr="00DB5AA7">
              <w:rPr>
                <w:sz w:val="18"/>
                <w:szCs w:val="18"/>
                <w:lang w:val="en-US"/>
              </w:rPr>
              <w:t>tabelul</w:t>
            </w:r>
            <w:proofErr w:type="spellEnd"/>
            <w:r w:rsidRPr="00DB5AA7">
              <w:rPr>
                <w:sz w:val="18"/>
                <w:szCs w:val="18"/>
                <w:lang w:val="en-US"/>
              </w:rPr>
              <w:t xml:space="preserve"> 2 de la </w:t>
            </w:r>
            <w:proofErr w:type="spellStart"/>
            <w:r w:rsidRPr="00DB5AA7">
              <w:rPr>
                <w:sz w:val="18"/>
                <w:szCs w:val="18"/>
                <w:lang w:val="en-US"/>
              </w:rPr>
              <w:t>alineatul</w:t>
            </w:r>
            <w:proofErr w:type="spellEnd"/>
            <w:r w:rsidRPr="00DB5AA7">
              <w:rPr>
                <w:sz w:val="18"/>
                <w:szCs w:val="18"/>
                <w:lang w:val="en-US"/>
              </w:rPr>
              <w:t xml:space="preserve"> (1). </w:t>
            </w:r>
          </w:p>
        </w:tc>
        <w:tc>
          <w:tcPr>
            <w:tcW w:w="3685" w:type="dxa"/>
            <w:shd w:val="clear" w:color="auto" w:fill="auto"/>
          </w:tcPr>
          <w:p w14:paraId="05D2342C" w14:textId="3BC72F93" w:rsidR="00C4000F" w:rsidRDefault="00C4000F" w:rsidP="00C4000F">
            <w:pPr>
              <w:rPr>
                <w:b/>
                <w:bCs/>
                <w:sz w:val="18"/>
                <w:szCs w:val="18"/>
                <w:lang w:val="ro-MD"/>
              </w:rPr>
            </w:pPr>
            <w:r w:rsidRPr="00C4000F">
              <w:rPr>
                <w:b/>
                <w:bCs/>
                <w:sz w:val="18"/>
                <w:szCs w:val="18"/>
                <w:lang w:val="ro-MD"/>
              </w:rPr>
              <w:t xml:space="preserve">11. </w:t>
            </w:r>
            <w:bookmarkStart w:id="3" w:name="_Hlk205451890"/>
            <w:r w:rsidRPr="00C4000F">
              <w:rPr>
                <w:sz w:val="18"/>
                <w:szCs w:val="18"/>
                <w:lang w:val="ro-MD"/>
              </w:rPr>
              <w:t xml:space="preserve">La aplicarea unei ponderi de risc expunerilor din </w:t>
            </w:r>
            <w:proofErr w:type="spellStart"/>
            <w:r w:rsidRPr="00C4000F">
              <w:rPr>
                <w:sz w:val="18"/>
                <w:szCs w:val="18"/>
                <w:lang w:val="ro-MD"/>
              </w:rPr>
              <w:t>tranzacţiile</w:t>
            </w:r>
            <w:proofErr w:type="spellEnd"/>
            <w:r w:rsidRPr="00C4000F">
              <w:rPr>
                <w:sz w:val="18"/>
                <w:szCs w:val="18"/>
                <w:lang w:val="ro-MD"/>
              </w:rPr>
              <w:t xml:space="preserve"> incomplete tratate în conformitate cu</w:t>
            </w:r>
            <w:r w:rsidR="002E23B7">
              <w:rPr>
                <w:sz w:val="18"/>
                <w:szCs w:val="18"/>
                <w:lang w:val="ro-MD"/>
              </w:rPr>
              <w:t xml:space="preserve"> prevederile expuse în</w:t>
            </w:r>
            <w:r w:rsidRPr="00C4000F">
              <w:rPr>
                <w:sz w:val="18"/>
                <w:szCs w:val="18"/>
                <w:lang w:val="ro-MD"/>
              </w:rPr>
              <w:t xml:space="preserve"> coloana 3 din tabelul 2, o bancă ce utilizează abordarea bazată pe modele interne de rating (</w:t>
            </w:r>
            <w:r w:rsidR="00C05FC9">
              <w:rPr>
                <w:sz w:val="18"/>
                <w:szCs w:val="18"/>
                <w:lang w:val="ro-MD"/>
              </w:rPr>
              <w:t xml:space="preserve">în continuare - </w:t>
            </w:r>
            <w:r w:rsidRPr="00C4000F">
              <w:rPr>
                <w:sz w:val="18"/>
                <w:szCs w:val="18"/>
                <w:lang w:val="ro-MD"/>
              </w:rPr>
              <w:t xml:space="preserve">IRB) poate atribui </w:t>
            </w:r>
            <w:proofErr w:type="spellStart"/>
            <w:r w:rsidRPr="00C4000F">
              <w:rPr>
                <w:sz w:val="18"/>
                <w:szCs w:val="18"/>
                <w:lang w:val="ro-MD"/>
              </w:rPr>
              <w:t>probabilităţi</w:t>
            </w:r>
            <w:proofErr w:type="spellEnd"/>
            <w:r w:rsidRPr="00C4000F">
              <w:rPr>
                <w:sz w:val="18"/>
                <w:szCs w:val="18"/>
                <w:lang w:val="ro-MD"/>
              </w:rPr>
              <w:t xml:space="preserve"> de nerambursare </w:t>
            </w:r>
            <w:proofErr w:type="spellStart"/>
            <w:r w:rsidRPr="00C4000F">
              <w:rPr>
                <w:sz w:val="18"/>
                <w:szCs w:val="18"/>
                <w:lang w:val="ro-MD"/>
              </w:rPr>
              <w:t>contrapărţilor</w:t>
            </w:r>
            <w:proofErr w:type="spellEnd"/>
            <w:r w:rsidRPr="00C4000F">
              <w:rPr>
                <w:sz w:val="18"/>
                <w:szCs w:val="18"/>
                <w:lang w:val="ro-MD"/>
              </w:rPr>
              <w:t xml:space="preserve"> pentru care nu are alte expuneri în afara portofoliului de </w:t>
            </w:r>
            <w:proofErr w:type="spellStart"/>
            <w:r w:rsidRPr="00C4000F">
              <w:rPr>
                <w:sz w:val="18"/>
                <w:szCs w:val="18"/>
                <w:lang w:val="ro-MD"/>
              </w:rPr>
              <w:t>tranzacţionare</w:t>
            </w:r>
            <w:proofErr w:type="spellEnd"/>
            <w:r w:rsidRPr="00C4000F">
              <w:rPr>
                <w:sz w:val="18"/>
                <w:szCs w:val="18"/>
                <w:lang w:val="ro-MD"/>
              </w:rPr>
              <w:t xml:space="preserve">, pe baza ratingului extern al </w:t>
            </w:r>
            <w:proofErr w:type="spellStart"/>
            <w:r w:rsidRPr="00C4000F">
              <w:rPr>
                <w:sz w:val="18"/>
                <w:szCs w:val="18"/>
                <w:lang w:val="ro-MD"/>
              </w:rPr>
              <w:t>contrapărţii</w:t>
            </w:r>
            <w:proofErr w:type="spellEnd"/>
            <w:r w:rsidRPr="00C4000F">
              <w:rPr>
                <w:sz w:val="18"/>
                <w:szCs w:val="18"/>
                <w:lang w:val="ro-MD"/>
              </w:rPr>
              <w:t xml:space="preserve">. Băncile care utilizează propriile estimări ale pierderii în caz de nerambursare (LGD — </w:t>
            </w:r>
            <w:proofErr w:type="spellStart"/>
            <w:r w:rsidRPr="00C4000F">
              <w:rPr>
                <w:sz w:val="18"/>
                <w:szCs w:val="18"/>
                <w:lang w:val="ro-MD"/>
              </w:rPr>
              <w:t>loss</w:t>
            </w:r>
            <w:proofErr w:type="spellEnd"/>
            <w:r w:rsidRPr="00C4000F">
              <w:rPr>
                <w:sz w:val="18"/>
                <w:szCs w:val="18"/>
                <w:lang w:val="ro-MD"/>
              </w:rPr>
              <w:t xml:space="preserve"> </w:t>
            </w:r>
            <w:proofErr w:type="spellStart"/>
            <w:r w:rsidRPr="00C4000F">
              <w:rPr>
                <w:sz w:val="18"/>
                <w:szCs w:val="18"/>
                <w:lang w:val="ro-MD"/>
              </w:rPr>
              <w:t>given</w:t>
            </w:r>
            <w:proofErr w:type="spellEnd"/>
            <w:r w:rsidRPr="00C4000F">
              <w:rPr>
                <w:sz w:val="18"/>
                <w:szCs w:val="18"/>
                <w:lang w:val="ro-MD"/>
              </w:rPr>
              <w:t xml:space="preserve"> </w:t>
            </w:r>
            <w:proofErr w:type="spellStart"/>
            <w:r w:rsidRPr="00C4000F">
              <w:rPr>
                <w:sz w:val="18"/>
                <w:szCs w:val="18"/>
                <w:lang w:val="ro-MD"/>
              </w:rPr>
              <w:t>default</w:t>
            </w:r>
            <w:proofErr w:type="spellEnd"/>
            <w:r w:rsidRPr="00C4000F">
              <w:rPr>
                <w:sz w:val="18"/>
                <w:szCs w:val="18"/>
                <w:lang w:val="ro-MD"/>
              </w:rPr>
              <w:t xml:space="preserve">) pot aplica valoarea pierderilor în caz de nerambursare conform abordării IRB expunerilor din </w:t>
            </w:r>
            <w:proofErr w:type="spellStart"/>
            <w:r w:rsidRPr="00C4000F">
              <w:rPr>
                <w:sz w:val="18"/>
                <w:szCs w:val="18"/>
                <w:lang w:val="ro-MD"/>
              </w:rPr>
              <w:t>tranzacţii</w:t>
            </w:r>
            <w:proofErr w:type="spellEnd"/>
            <w:r w:rsidRPr="00C4000F">
              <w:rPr>
                <w:sz w:val="18"/>
                <w:szCs w:val="18"/>
                <w:lang w:val="ro-MD"/>
              </w:rPr>
              <w:t xml:space="preserve"> incomplete tratate în conformitate cu </w:t>
            </w:r>
            <w:r w:rsidR="002E23B7">
              <w:rPr>
                <w:sz w:val="18"/>
                <w:szCs w:val="18"/>
                <w:lang w:val="ro-MD"/>
              </w:rPr>
              <w:t xml:space="preserve">prevederile expuse în </w:t>
            </w:r>
            <w:r w:rsidRPr="00C4000F">
              <w:rPr>
                <w:sz w:val="18"/>
                <w:szCs w:val="18"/>
                <w:lang w:val="ro-MD"/>
              </w:rPr>
              <w:t xml:space="preserve">coloana 3 din tabelul 2, cu </w:t>
            </w:r>
            <w:proofErr w:type="spellStart"/>
            <w:r w:rsidRPr="00C4000F">
              <w:rPr>
                <w:sz w:val="18"/>
                <w:szCs w:val="18"/>
                <w:lang w:val="ro-MD"/>
              </w:rPr>
              <w:t>condiţia</w:t>
            </w:r>
            <w:proofErr w:type="spellEnd"/>
            <w:r w:rsidRPr="00C4000F">
              <w:rPr>
                <w:sz w:val="18"/>
                <w:szCs w:val="18"/>
                <w:lang w:val="ro-MD"/>
              </w:rPr>
              <w:t xml:space="preserve"> să aplice respectiva valoare a pierderii în caz de nerambursare tuturor expunerilor de acest tip. Alternativ, banca care utilizează abordarea IRB poate aplica ponderile de risc ale abordării standardizate, așa cum este prevăzut în Regulamentul nr.111/2018 cu privire la tratamentul riscului de credit pentru bănci potrivit abordării standardizate, cu </w:t>
            </w:r>
            <w:proofErr w:type="spellStart"/>
            <w:r w:rsidRPr="00C4000F">
              <w:rPr>
                <w:sz w:val="18"/>
                <w:szCs w:val="18"/>
                <w:lang w:val="ro-MD"/>
              </w:rPr>
              <w:t>condiţia</w:t>
            </w:r>
            <w:proofErr w:type="spellEnd"/>
            <w:r w:rsidRPr="00C4000F">
              <w:rPr>
                <w:sz w:val="18"/>
                <w:szCs w:val="18"/>
                <w:lang w:val="ro-MD"/>
              </w:rPr>
              <w:t xml:space="preserve"> să le aplice tuturor expunerilor de acest tip, sau poate aplica o pondere de risc de 100 % tuturor expunerilor de acest tip</w:t>
            </w:r>
            <w:r w:rsidRPr="00C4000F">
              <w:rPr>
                <w:b/>
                <w:bCs/>
                <w:sz w:val="18"/>
                <w:szCs w:val="18"/>
                <w:lang w:val="ro-MD"/>
              </w:rPr>
              <w:t>.</w:t>
            </w:r>
            <w:bookmarkEnd w:id="3"/>
          </w:p>
          <w:p w14:paraId="732AB3DF" w14:textId="77777777" w:rsidR="00BB1BF4" w:rsidRDefault="00BB1BF4" w:rsidP="00C4000F">
            <w:pPr>
              <w:rPr>
                <w:b/>
                <w:bCs/>
                <w:sz w:val="18"/>
                <w:szCs w:val="18"/>
                <w:lang w:val="ro-MD"/>
              </w:rPr>
            </w:pPr>
          </w:p>
          <w:p w14:paraId="5C0ED5EB" w14:textId="77777777" w:rsidR="00BB1BF4" w:rsidRDefault="00BB1BF4" w:rsidP="00C4000F">
            <w:pPr>
              <w:rPr>
                <w:b/>
                <w:bCs/>
                <w:sz w:val="18"/>
                <w:szCs w:val="18"/>
                <w:lang w:val="ro-MD"/>
              </w:rPr>
            </w:pPr>
          </w:p>
          <w:p w14:paraId="11F303D7" w14:textId="1D8DD4E3" w:rsidR="00BB1BF4" w:rsidRDefault="00BB1BF4" w:rsidP="00BB1BF4">
            <w:pPr>
              <w:tabs>
                <w:tab w:val="left" w:pos="317"/>
              </w:tabs>
              <w:ind w:left="-43"/>
              <w:jc w:val="both"/>
              <w:rPr>
                <w:sz w:val="18"/>
                <w:szCs w:val="18"/>
                <w:lang w:val="en-US" w:eastAsia="ro-MD"/>
              </w:rPr>
            </w:pPr>
            <w:r w:rsidRPr="00C4000F">
              <w:rPr>
                <w:b/>
                <w:bCs/>
                <w:sz w:val="18"/>
                <w:szCs w:val="18"/>
                <w:lang w:val="en-US" w:eastAsia="ro-MD"/>
              </w:rPr>
              <w:lastRenderedPageBreak/>
              <w:t>9.</w:t>
            </w:r>
            <w:r w:rsidRPr="00C4000F">
              <w:rPr>
                <w:sz w:val="18"/>
                <w:szCs w:val="18"/>
                <w:lang w:val="en-US" w:eastAsia="ro-MD"/>
              </w:rPr>
              <w:t xml:space="preserve"> </w:t>
            </w:r>
            <w:proofErr w:type="spellStart"/>
            <w:r w:rsidRPr="00C4000F">
              <w:rPr>
                <w:sz w:val="18"/>
                <w:szCs w:val="18"/>
                <w:lang w:val="en-US" w:eastAsia="ro-MD"/>
              </w:rPr>
              <w:t>Dacă</w:t>
            </w:r>
            <w:proofErr w:type="spellEnd"/>
            <w:r w:rsidRPr="00C4000F">
              <w:rPr>
                <w:sz w:val="18"/>
                <w:szCs w:val="18"/>
                <w:lang w:val="en-US" w:eastAsia="ro-MD"/>
              </w:rPr>
              <w:t xml:space="preserve"> </w:t>
            </w:r>
            <w:proofErr w:type="spellStart"/>
            <w:r w:rsidRPr="00C4000F">
              <w:rPr>
                <w:sz w:val="18"/>
                <w:szCs w:val="18"/>
                <w:lang w:val="en-US" w:eastAsia="ro-MD"/>
              </w:rPr>
              <w:t>valoarea</w:t>
            </w:r>
            <w:proofErr w:type="spellEnd"/>
            <w:r w:rsidRPr="00C4000F">
              <w:rPr>
                <w:sz w:val="18"/>
                <w:szCs w:val="18"/>
                <w:lang w:val="en-US" w:eastAsia="ro-MD"/>
              </w:rPr>
              <w:t xml:space="preserve"> </w:t>
            </w:r>
            <w:proofErr w:type="spellStart"/>
            <w:r w:rsidRPr="00C4000F">
              <w:rPr>
                <w:sz w:val="18"/>
                <w:szCs w:val="18"/>
                <w:lang w:val="en-US" w:eastAsia="ro-MD"/>
              </w:rPr>
              <w:t>expunerii</w:t>
            </w:r>
            <w:proofErr w:type="spellEnd"/>
            <w:r w:rsidRPr="00C4000F">
              <w:rPr>
                <w:sz w:val="18"/>
                <w:szCs w:val="18"/>
                <w:lang w:val="en-US" w:eastAsia="ro-MD"/>
              </w:rPr>
              <w:t xml:space="preserve"> </w:t>
            </w:r>
            <w:proofErr w:type="spellStart"/>
            <w:r w:rsidRPr="00C4000F">
              <w:rPr>
                <w:sz w:val="18"/>
                <w:szCs w:val="18"/>
                <w:lang w:val="en-US" w:eastAsia="ro-MD"/>
              </w:rPr>
              <w:t>pozitive</w:t>
            </w:r>
            <w:proofErr w:type="spellEnd"/>
            <w:r w:rsidRPr="00C4000F">
              <w:rPr>
                <w:sz w:val="18"/>
                <w:szCs w:val="18"/>
                <w:lang w:val="en-US" w:eastAsia="ro-MD"/>
              </w:rPr>
              <w:t xml:space="preserve"> </w:t>
            </w:r>
            <w:proofErr w:type="spellStart"/>
            <w:r w:rsidRPr="00C4000F">
              <w:rPr>
                <w:sz w:val="18"/>
                <w:szCs w:val="18"/>
                <w:lang w:val="en-US" w:eastAsia="ro-MD"/>
              </w:rPr>
              <w:t>ce</w:t>
            </w:r>
            <w:proofErr w:type="spellEnd"/>
            <w:r w:rsidRPr="00C4000F">
              <w:rPr>
                <w:sz w:val="18"/>
                <w:szCs w:val="18"/>
                <w:lang w:val="en-US" w:eastAsia="ro-MD"/>
              </w:rPr>
              <w:t xml:space="preserve"> </w:t>
            </w:r>
            <w:proofErr w:type="spellStart"/>
            <w:r w:rsidRPr="00C4000F">
              <w:rPr>
                <w:sz w:val="18"/>
                <w:szCs w:val="18"/>
                <w:lang w:val="en-US" w:eastAsia="ro-MD"/>
              </w:rPr>
              <w:t>rezultă</w:t>
            </w:r>
            <w:proofErr w:type="spellEnd"/>
            <w:r w:rsidRPr="00C4000F">
              <w:rPr>
                <w:sz w:val="18"/>
                <w:szCs w:val="18"/>
                <w:lang w:val="en-US" w:eastAsia="ro-MD"/>
              </w:rPr>
              <w:t xml:space="preserve"> din </w:t>
            </w:r>
            <w:proofErr w:type="spellStart"/>
            <w:r w:rsidRPr="00C4000F">
              <w:rPr>
                <w:sz w:val="18"/>
                <w:szCs w:val="18"/>
                <w:lang w:val="en-US" w:eastAsia="ro-MD"/>
              </w:rPr>
              <w:t>tranzacţii</w:t>
            </w:r>
            <w:proofErr w:type="spellEnd"/>
            <w:r w:rsidRPr="00C4000F">
              <w:rPr>
                <w:sz w:val="18"/>
                <w:szCs w:val="18"/>
                <w:lang w:val="en-US" w:eastAsia="ro-MD"/>
              </w:rPr>
              <w:t xml:space="preserve"> incomplete nu </w:t>
            </w:r>
            <w:proofErr w:type="spellStart"/>
            <w:r w:rsidRPr="00C4000F">
              <w:rPr>
                <w:sz w:val="18"/>
                <w:szCs w:val="18"/>
                <w:lang w:val="en-US" w:eastAsia="ro-MD"/>
              </w:rPr>
              <w:t>este</w:t>
            </w:r>
            <w:proofErr w:type="spellEnd"/>
            <w:r w:rsidRPr="00C4000F">
              <w:rPr>
                <w:sz w:val="18"/>
                <w:szCs w:val="18"/>
                <w:lang w:val="en-US" w:eastAsia="ro-MD"/>
              </w:rPr>
              <w:t xml:space="preserve"> </w:t>
            </w:r>
            <w:proofErr w:type="spellStart"/>
            <w:r w:rsidRPr="00C4000F">
              <w:rPr>
                <w:sz w:val="18"/>
                <w:szCs w:val="18"/>
                <w:lang w:val="en-US" w:eastAsia="ro-MD"/>
              </w:rPr>
              <w:t>semnificativă</w:t>
            </w:r>
            <w:proofErr w:type="spellEnd"/>
            <w:r w:rsidRPr="00C4000F">
              <w:rPr>
                <w:sz w:val="18"/>
                <w:szCs w:val="18"/>
                <w:lang w:val="en-US" w:eastAsia="ro-MD"/>
              </w:rPr>
              <w:t xml:space="preserve">, </w:t>
            </w:r>
            <w:proofErr w:type="spellStart"/>
            <w:r w:rsidRPr="00C4000F">
              <w:rPr>
                <w:sz w:val="18"/>
                <w:szCs w:val="18"/>
                <w:lang w:val="en-US" w:eastAsia="ro-MD"/>
              </w:rPr>
              <w:t>băncile</w:t>
            </w:r>
            <w:proofErr w:type="spellEnd"/>
            <w:r w:rsidRPr="00C4000F">
              <w:rPr>
                <w:sz w:val="18"/>
                <w:szCs w:val="18"/>
                <w:lang w:val="en-US" w:eastAsia="ro-MD"/>
              </w:rPr>
              <w:t xml:space="preserve"> pot </w:t>
            </w:r>
            <w:proofErr w:type="spellStart"/>
            <w:r w:rsidRPr="00C4000F">
              <w:rPr>
                <w:sz w:val="18"/>
                <w:szCs w:val="18"/>
                <w:lang w:val="en-US" w:eastAsia="ro-MD"/>
              </w:rPr>
              <w:t>aplica</w:t>
            </w:r>
            <w:proofErr w:type="spellEnd"/>
            <w:r w:rsidRPr="00C4000F">
              <w:rPr>
                <w:sz w:val="18"/>
                <w:szCs w:val="18"/>
                <w:lang w:val="en-US" w:eastAsia="ro-MD"/>
              </w:rPr>
              <w:t xml:space="preserve"> </w:t>
            </w:r>
            <w:proofErr w:type="spellStart"/>
            <w:r w:rsidRPr="00C4000F">
              <w:rPr>
                <w:sz w:val="18"/>
                <w:szCs w:val="18"/>
                <w:lang w:val="en-US" w:eastAsia="ro-MD"/>
              </w:rPr>
              <w:t>acestor</w:t>
            </w:r>
            <w:proofErr w:type="spellEnd"/>
            <w:r w:rsidRPr="00C4000F">
              <w:rPr>
                <w:sz w:val="18"/>
                <w:szCs w:val="18"/>
                <w:lang w:val="en-US" w:eastAsia="ro-MD"/>
              </w:rPr>
              <w:t xml:space="preserve"> </w:t>
            </w:r>
            <w:proofErr w:type="spellStart"/>
            <w:r w:rsidRPr="00C4000F">
              <w:rPr>
                <w:sz w:val="18"/>
                <w:szCs w:val="18"/>
                <w:lang w:val="en-US" w:eastAsia="ro-MD"/>
              </w:rPr>
              <w:t>expuneri</w:t>
            </w:r>
            <w:proofErr w:type="spellEnd"/>
            <w:r w:rsidRPr="00C4000F">
              <w:rPr>
                <w:sz w:val="18"/>
                <w:szCs w:val="18"/>
                <w:lang w:val="en-US" w:eastAsia="ro-MD"/>
              </w:rPr>
              <w:t xml:space="preserve"> o </w:t>
            </w:r>
            <w:proofErr w:type="spellStart"/>
            <w:r w:rsidRPr="00C4000F">
              <w:rPr>
                <w:sz w:val="18"/>
                <w:szCs w:val="18"/>
                <w:lang w:val="en-US" w:eastAsia="ro-MD"/>
              </w:rPr>
              <w:t>pondere</w:t>
            </w:r>
            <w:proofErr w:type="spellEnd"/>
            <w:r w:rsidRPr="00C4000F">
              <w:rPr>
                <w:sz w:val="18"/>
                <w:szCs w:val="18"/>
                <w:lang w:val="en-US" w:eastAsia="ro-MD"/>
              </w:rPr>
              <w:t xml:space="preserve"> de </w:t>
            </w:r>
            <w:proofErr w:type="spellStart"/>
            <w:r w:rsidRPr="00C4000F">
              <w:rPr>
                <w:sz w:val="18"/>
                <w:szCs w:val="18"/>
                <w:lang w:val="en-US" w:eastAsia="ro-MD"/>
              </w:rPr>
              <w:t>risc</w:t>
            </w:r>
            <w:proofErr w:type="spellEnd"/>
            <w:r w:rsidRPr="00C4000F">
              <w:rPr>
                <w:sz w:val="18"/>
                <w:szCs w:val="18"/>
                <w:lang w:val="en-US" w:eastAsia="ro-MD"/>
              </w:rPr>
              <w:t xml:space="preserve"> de 100%, cu </w:t>
            </w:r>
            <w:proofErr w:type="spellStart"/>
            <w:r w:rsidRPr="00C4000F">
              <w:rPr>
                <w:sz w:val="18"/>
                <w:szCs w:val="18"/>
                <w:lang w:val="en-US" w:eastAsia="ro-MD"/>
              </w:rPr>
              <w:t>excepţia</w:t>
            </w:r>
            <w:proofErr w:type="spellEnd"/>
            <w:r w:rsidRPr="00C4000F">
              <w:rPr>
                <w:sz w:val="18"/>
                <w:szCs w:val="18"/>
                <w:lang w:val="en-US" w:eastAsia="ro-MD"/>
              </w:rPr>
              <w:t xml:space="preserve"> </w:t>
            </w:r>
            <w:proofErr w:type="spellStart"/>
            <w:r w:rsidRPr="00C4000F">
              <w:rPr>
                <w:sz w:val="18"/>
                <w:szCs w:val="18"/>
                <w:lang w:val="en-US" w:eastAsia="ro-MD"/>
              </w:rPr>
              <w:t>cazului</w:t>
            </w:r>
            <w:proofErr w:type="spellEnd"/>
            <w:r w:rsidRPr="00C4000F">
              <w:rPr>
                <w:sz w:val="18"/>
                <w:szCs w:val="18"/>
                <w:lang w:val="en-US" w:eastAsia="ro-MD"/>
              </w:rPr>
              <w:t xml:space="preserve"> </w:t>
            </w:r>
            <w:proofErr w:type="spellStart"/>
            <w:r w:rsidRPr="00C4000F">
              <w:rPr>
                <w:sz w:val="18"/>
                <w:szCs w:val="18"/>
                <w:lang w:val="en-US" w:eastAsia="ro-MD"/>
              </w:rPr>
              <w:t>în</w:t>
            </w:r>
            <w:proofErr w:type="spellEnd"/>
            <w:r w:rsidRPr="00C4000F">
              <w:rPr>
                <w:sz w:val="18"/>
                <w:szCs w:val="18"/>
                <w:lang w:val="en-US" w:eastAsia="ro-MD"/>
              </w:rPr>
              <w:t xml:space="preserve"> care </w:t>
            </w:r>
            <w:proofErr w:type="spellStart"/>
            <w:r w:rsidRPr="00C4000F">
              <w:rPr>
                <w:sz w:val="18"/>
                <w:szCs w:val="18"/>
                <w:lang w:val="en-US" w:eastAsia="ro-MD"/>
              </w:rPr>
              <w:t>este</w:t>
            </w:r>
            <w:proofErr w:type="spellEnd"/>
            <w:r w:rsidRPr="00C4000F">
              <w:rPr>
                <w:sz w:val="18"/>
                <w:szCs w:val="18"/>
                <w:lang w:val="en-US" w:eastAsia="ro-MD"/>
              </w:rPr>
              <w:t xml:space="preserve"> </w:t>
            </w:r>
            <w:proofErr w:type="spellStart"/>
            <w:r w:rsidRPr="00C4000F">
              <w:rPr>
                <w:sz w:val="18"/>
                <w:szCs w:val="18"/>
                <w:lang w:val="en-US" w:eastAsia="ro-MD"/>
              </w:rPr>
              <w:t>necesară</w:t>
            </w:r>
            <w:proofErr w:type="spellEnd"/>
            <w:r w:rsidRPr="00C4000F">
              <w:rPr>
                <w:sz w:val="18"/>
                <w:szCs w:val="18"/>
                <w:lang w:val="en-US" w:eastAsia="ro-MD"/>
              </w:rPr>
              <w:t xml:space="preserve"> o </w:t>
            </w:r>
            <w:proofErr w:type="spellStart"/>
            <w:r w:rsidRPr="00C4000F">
              <w:rPr>
                <w:sz w:val="18"/>
                <w:szCs w:val="18"/>
                <w:lang w:val="en-US" w:eastAsia="ro-MD"/>
              </w:rPr>
              <w:t>pondere</w:t>
            </w:r>
            <w:proofErr w:type="spellEnd"/>
            <w:r w:rsidRPr="00C4000F">
              <w:rPr>
                <w:sz w:val="18"/>
                <w:szCs w:val="18"/>
                <w:lang w:val="en-US" w:eastAsia="ro-MD"/>
              </w:rPr>
              <w:t xml:space="preserve"> de </w:t>
            </w:r>
            <w:proofErr w:type="spellStart"/>
            <w:r w:rsidRPr="00C4000F">
              <w:rPr>
                <w:sz w:val="18"/>
                <w:szCs w:val="18"/>
                <w:lang w:val="en-US" w:eastAsia="ro-MD"/>
              </w:rPr>
              <w:t>risc</w:t>
            </w:r>
            <w:proofErr w:type="spellEnd"/>
            <w:r w:rsidRPr="00C4000F">
              <w:rPr>
                <w:sz w:val="18"/>
                <w:szCs w:val="18"/>
                <w:lang w:val="en-US" w:eastAsia="ro-MD"/>
              </w:rPr>
              <w:t xml:space="preserve"> de 1000%, </w:t>
            </w:r>
            <w:proofErr w:type="spellStart"/>
            <w:r w:rsidRPr="00C4000F">
              <w:rPr>
                <w:sz w:val="18"/>
                <w:szCs w:val="18"/>
                <w:lang w:val="en-US" w:eastAsia="ro-MD"/>
              </w:rPr>
              <w:t>în</w:t>
            </w:r>
            <w:proofErr w:type="spellEnd"/>
            <w:r w:rsidRPr="00C4000F">
              <w:rPr>
                <w:sz w:val="18"/>
                <w:szCs w:val="18"/>
                <w:lang w:val="en-US" w:eastAsia="ro-MD"/>
              </w:rPr>
              <w:t xml:space="preserve"> </w:t>
            </w:r>
            <w:proofErr w:type="spellStart"/>
            <w:r w:rsidRPr="00C4000F">
              <w:rPr>
                <w:sz w:val="18"/>
                <w:szCs w:val="18"/>
                <w:lang w:val="en-US" w:eastAsia="ro-MD"/>
              </w:rPr>
              <w:t>conformitate</w:t>
            </w:r>
            <w:proofErr w:type="spellEnd"/>
            <w:r w:rsidRPr="00C4000F">
              <w:rPr>
                <w:sz w:val="18"/>
                <w:szCs w:val="18"/>
                <w:lang w:val="en-US" w:eastAsia="ro-MD"/>
              </w:rPr>
              <w:t xml:space="preserve"> </w:t>
            </w:r>
            <w:r w:rsidR="002E23B7">
              <w:rPr>
                <w:sz w:val="18"/>
                <w:szCs w:val="18"/>
                <w:lang w:val="en-US" w:eastAsia="ro-MD"/>
              </w:rPr>
              <w:t xml:space="preserve">cu </w:t>
            </w:r>
            <w:proofErr w:type="spellStart"/>
            <w:r w:rsidRPr="00C4000F">
              <w:rPr>
                <w:sz w:val="18"/>
                <w:szCs w:val="18"/>
                <w:lang w:val="en-US" w:eastAsia="ro-MD"/>
              </w:rPr>
              <w:t>prevederile</w:t>
            </w:r>
            <w:proofErr w:type="spellEnd"/>
            <w:r w:rsidRPr="00C4000F">
              <w:rPr>
                <w:sz w:val="18"/>
                <w:szCs w:val="18"/>
                <w:lang w:val="en-US" w:eastAsia="ro-MD"/>
              </w:rPr>
              <w:t xml:space="preserve"> </w:t>
            </w:r>
            <w:proofErr w:type="spellStart"/>
            <w:r w:rsidRPr="00C4000F">
              <w:rPr>
                <w:sz w:val="18"/>
                <w:szCs w:val="18"/>
                <w:lang w:val="en-US" w:eastAsia="ro-MD"/>
              </w:rPr>
              <w:t>tabelului</w:t>
            </w:r>
            <w:proofErr w:type="spellEnd"/>
            <w:r w:rsidRPr="00C4000F">
              <w:rPr>
                <w:sz w:val="18"/>
                <w:szCs w:val="18"/>
                <w:lang w:val="en-US" w:eastAsia="ro-MD"/>
              </w:rPr>
              <w:t xml:space="preserve"> </w:t>
            </w:r>
            <w:r w:rsidR="00C05FC9">
              <w:rPr>
                <w:sz w:val="18"/>
                <w:szCs w:val="18"/>
                <w:lang w:val="en-US" w:eastAsia="ro-MD"/>
              </w:rPr>
              <w:t>2</w:t>
            </w:r>
            <w:r>
              <w:rPr>
                <w:sz w:val="18"/>
                <w:szCs w:val="18"/>
                <w:lang w:val="en-US" w:eastAsia="ro-MD"/>
              </w:rPr>
              <w:t>.</w:t>
            </w:r>
          </w:p>
          <w:p w14:paraId="47588C5D" w14:textId="32E6FE03" w:rsidR="00BB1BF4" w:rsidRDefault="00BB1BF4" w:rsidP="00C4000F">
            <w:pPr>
              <w:rPr>
                <w:b/>
                <w:bCs/>
                <w:sz w:val="18"/>
                <w:szCs w:val="18"/>
                <w:lang w:val="ro-MD"/>
              </w:rPr>
            </w:pPr>
          </w:p>
          <w:p w14:paraId="67A1DBE1" w14:textId="77777777" w:rsidR="00BE313F" w:rsidRPr="00C4000F" w:rsidRDefault="00BE313F" w:rsidP="00C4000F">
            <w:pPr>
              <w:rPr>
                <w:b/>
                <w:bCs/>
                <w:sz w:val="18"/>
                <w:szCs w:val="18"/>
                <w:lang w:val="ro-MD"/>
              </w:rPr>
            </w:pPr>
          </w:p>
          <w:p w14:paraId="13A64543" w14:textId="1598DF72" w:rsidR="00BE313F" w:rsidRDefault="00BE313F" w:rsidP="00BE313F">
            <w:pPr>
              <w:rPr>
                <w:b/>
                <w:bCs/>
                <w:i/>
                <w:iCs/>
                <w:sz w:val="18"/>
                <w:szCs w:val="18"/>
                <w:lang w:val="ro-RO"/>
              </w:rPr>
            </w:pPr>
            <w:r w:rsidRPr="00BE313F">
              <w:rPr>
                <w:b/>
                <w:bCs/>
                <w:i/>
                <w:iCs/>
                <w:sz w:val="18"/>
                <w:szCs w:val="18"/>
                <w:lang w:val="ro-RO"/>
              </w:rPr>
              <w:t>Prevedere no</w:t>
            </w:r>
            <w:r>
              <w:rPr>
                <w:b/>
                <w:bCs/>
                <w:i/>
                <w:iCs/>
                <w:sz w:val="18"/>
                <w:szCs w:val="18"/>
                <w:lang w:val="ro-RO"/>
              </w:rPr>
              <w:t>uă</w:t>
            </w:r>
            <w:r w:rsidRPr="00BE313F">
              <w:rPr>
                <w:b/>
                <w:bCs/>
                <w:i/>
                <w:iCs/>
                <w:sz w:val="18"/>
                <w:szCs w:val="18"/>
                <w:lang w:val="ro-RO"/>
              </w:rPr>
              <w:t xml:space="preserve"> </w:t>
            </w:r>
            <w:r w:rsidR="00BB1BF4">
              <w:rPr>
                <w:b/>
                <w:bCs/>
                <w:i/>
                <w:iCs/>
                <w:sz w:val="18"/>
                <w:szCs w:val="18"/>
                <w:lang w:val="ro-RO"/>
              </w:rPr>
              <w:t xml:space="preserve">(pct.11 din proiect)) </w:t>
            </w:r>
            <w:r w:rsidRPr="00BE313F">
              <w:rPr>
                <w:b/>
                <w:bCs/>
                <w:i/>
                <w:iCs/>
                <w:sz w:val="18"/>
                <w:szCs w:val="18"/>
                <w:lang w:val="ro-RO"/>
              </w:rPr>
              <w:t xml:space="preserve">- </w:t>
            </w:r>
            <w:r w:rsidRPr="00BE313F">
              <w:rPr>
                <w:sz w:val="18"/>
                <w:szCs w:val="18"/>
                <w:lang w:val="ro-MD"/>
              </w:rPr>
              <w:t>Inclus</w:t>
            </w:r>
            <w:r>
              <w:rPr>
                <w:sz w:val="18"/>
                <w:szCs w:val="18"/>
                <w:lang w:val="ro-MD"/>
              </w:rPr>
              <w:t>ă</w:t>
            </w:r>
            <w:r w:rsidRPr="00BE313F">
              <w:rPr>
                <w:sz w:val="18"/>
                <w:szCs w:val="18"/>
                <w:lang w:val="ro-MD"/>
              </w:rPr>
              <w:t xml:space="preserve"> prin </w:t>
            </w:r>
            <w:r w:rsidRPr="00BE313F">
              <w:rPr>
                <w:b/>
                <w:bCs/>
                <w:i/>
                <w:iCs/>
                <w:sz w:val="18"/>
                <w:szCs w:val="18"/>
                <w:lang w:val="ro-RO"/>
              </w:rPr>
              <w:t>Proiectul HCE al BNM de modificare a Regulamentului nr.11</w:t>
            </w:r>
            <w:r>
              <w:rPr>
                <w:b/>
                <w:bCs/>
                <w:i/>
                <w:iCs/>
                <w:sz w:val="18"/>
                <w:szCs w:val="18"/>
                <w:lang w:val="ro-RO"/>
              </w:rPr>
              <w:t>5</w:t>
            </w:r>
            <w:r w:rsidRPr="00BE313F">
              <w:rPr>
                <w:b/>
                <w:bCs/>
                <w:i/>
                <w:iCs/>
                <w:sz w:val="18"/>
                <w:szCs w:val="18"/>
                <w:lang w:val="ro-RO"/>
              </w:rPr>
              <w:t>/2018.</w:t>
            </w:r>
          </w:p>
          <w:p w14:paraId="31F70293" w14:textId="77777777" w:rsidR="00BB1BF4" w:rsidRDefault="00BB1BF4" w:rsidP="00BE313F">
            <w:pPr>
              <w:rPr>
                <w:b/>
                <w:bCs/>
                <w:i/>
                <w:iCs/>
                <w:sz w:val="18"/>
                <w:szCs w:val="18"/>
                <w:lang w:val="ro-RO"/>
              </w:rPr>
            </w:pPr>
          </w:p>
          <w:p w14:paraId="211D57D4" w14:textId="31794D57" w:rsidR="00C4000F" w:rsidRPr="00BE313F" w:rsidRDefault="00BB1BF4" w:rsidP="00BB1BF4">
            <w:pPr>
              <w:rPr>
                <w:sz w:val="18"/>
                <w:szCs w:val="18"/>
                <w:lang w:val="ro-RO"/>
              </w:rPr>
            </w:pPr>
            <w:r w:rsidRPr="00BB1BF4">
              <w:rPr>
                <w:b/>
                <w:bCs/>
                <w:i/>
                <w:iCs/>
                <w:sz w:val="18"/>
                <w:szCs w:val="18"/>
                <w:lang w:val="ro-RO"/>
              </w:rPr>
              <w:t>Preveder</w:t>
            </w:r>
            <w:r>
              <w:rPr>
                <w:b/>
                <w:bCs/>
                <w:i/>
                <w:iCs/>
                <w:sz w:val="18"/>
                <w:szCs w:val="18"/>
                <w:lang w:val="ro-RO"/>
              </w:rPr>
              <w:t>e</w:t>
            </w:r>
            <w:r w:rsidRPr="00BB1BF4">
              <w:rPr>
                <w:b/>
                <w:bCs/>
                <w:i/>
                <w:iCs/>
                <w:sz w:val="18"/>
                <w:szCs w:val="18"/>
                <w:lang w:val="ro-RO"/>
              </w:rPr>
              <w:t xml:space="preserve"> existent</w:t>
            </w:r>
            <w:r>
              <w:rPr>
                <w:b/>
                <w:bCs/>
                <w:i/>
                <w:iCs/>
                <w:sz w:val="18"/>
                <w:szCs w:val="18"/>
                <w:lang w:val="ro-RO"/>
              </w:rPr>
              <w:t>ă</w:t>
            </w:r>
            <w:r w:rsidRPr="00BB1BF4">
              <w:rPr>
                <w:b/>
                <w:bCs/>
                <w:i/>
                <w:iCs/>
                <w:sz w:val="18"/>
                <w:szCs w:val="18"/>
                <w:lang w:val="ro-RO"/>
              </w:rPr>
              <w:t xml:space="preserve"> </w:t>
            </w:r>
            <w:r>
              <w:rPr>
                <w:b/>
                <w:bCs/>
                <w:i/>
                <w:iCs/>
                <w:sz w:val="18"/>
                <w:szCs w:val="18"/>
                <w:lang w:val="ro-RO"/>
              </w:rPr>
              <w:t xml:space="preserve">(pct.9 din regulament) </w:t>
            </w:r>
            <w:r w:rsidRPr="00BB1BF4">
              <w:rPr>
                <w:b/>
                <w:bCs/>
                <w:i/>
                <w:iCs/>
                <w:sz w:val="18"/>
                <w:szCs w:val="18"/>
                <w:lang w:val="ro-RO"/>
              </w:rPr>
              <w:t>- Regulamentul nr.115/2018</w:t>
            </w:r>
          </w:p>
        </w:tc>
        <w:tc>
          <w:tcPr>
            <w:tcW w:w="1229" w:type="dxa"/>
          </w:tcPr>
          <w:p w14:paraId="7DBF149D" w14:textId="20C286BC" w:rsidR="009E142A" w:rsidRPr="003F5B3C" w:rsidRDefault="00BB1BF4" w:rsidP="00B93C1C">
            <w:pPr>
              <w:jc w:val="both"/>
              <w:rPr>
                <w:color w:val="000000"/>
                <w:sz w:val="18"/>
                <w:szCs w:val="18"/>
                <w:lang w:val="ro-MD"/>
              </w:rPr>
            </w:pPr>
            <w:r>
              <w:rPr>
                <w:color w:val="000000"/>
                <w:sz w:val="18"/>
                <w:szCs w:val="18"/>
                <w:lang w:val="ro-MD"/>
              </w:rPr>
              <w:lastRenderedPageBreak/>
              <w:t>Compatibil.</w:t>
            </w:r>
          </w:p>
        </w:tc>
        <w:tc>
          <w:tcPr>
            <w:tcW w:w="5292" w:type="dxa"/>
            <w:tcBorders>
              <w:top w:val="single" w:sz="4" w:space="0" w:color="auto"/>
              <w:bottom w:val="single" w:sz="4" w:space="0" w:color="auto"/>
            </w:tcBorders>
          </w:tcPr>
          <w:p w14:paraId="2686C402" w14:textId="77777777" w:rsidR="009E142A" w:rsidRPr="003F5B3C" w:rsidRDefault="009E142A" w:rsidP="00B93C1C">
            <w:pPr>
              <w:jc w:val="both"/>
              <w:rPr>
                <w:color w:val="000000"/>
                <w:sz w:val="18"/>
                <w:szCs w:val="18"/>
                <w:lang w:val="ro-MD"/>
              </w:rPr>
            </w:pPr>
          </w:p>
        </w:tc>
      </w:tr>
      <w:tr w:rsidR="009E142A" w:rsidRPr="00775E84" w14:paraId="3C35A126" w14:textId="77777777" w:rsidTr="003F5B3C">
        <w:trPr>
          <w:trHeight w:val="427"/>
        </w:trPr>
        <w:tc>
          <w:tcPr>
            <w:tcW w:w="4253" w:type="dxa"/>
          </w:tcPr>
          <w:p w14:paraId="2A6C3254" w14:textId="77777777" w:rsidR="009E142A" w:rsidRDefault="009E142A" w:rsidP="009E142A">
            <w:pPr>
              <w:rPr>
                <w:sz w:val="18"/>
                <w:szCs w:val="18"/>
                <w:lang w:val="en-US"/>
              </w:rPr>
            </w:pPr>
            <w:r w:rsidRPr="00DB5AA7">
              <w:rPr>
                <w:sz w:val="18"/>
                <w:szCs w:val="18"/>
                <w:lang w:val="en-US"/>
              </w:rPr>
              <w:t xml:space="preserve">(3) Ca </w:t>
            </w:r>
            <w:proofErr w:type="spellStart"/>
            <w:r w:rsidRPr="00DB5AA7">
              <w:rPr>
                <w:sz w:val="18"/>
                <w:szCs w:val="18"/>
                <w:lang w:val="en-US"/>
              </w:rPr>
              <w:t>alternativă</w:t>
            </w:r>
            <w:proofErr w:type="spellEnd"/>
            <w:r w:rsidRPr="00DB5AA7">
              <w:rPr>
                <w:sz w:val="18"/>
                <w:szCs w:val="18"/>
                <w:lang w:val="en-US"/>
              </w:rPr>
              <w:t xml:space="preserve"> la </w:t>
            </w:r>
            <w:proofErr w:type="spellStart"/>
            <w:r w:rsidRPr="00DB5AA7">
              <w:rPr>
                <w:sz w:val="18"/>
                <w:szCs w:val="18"/>
                <w:lang w:val="en-US"/>
              </w:rPr>
              <w:t>aplicarea</w:t>
            </w:r>
            <w:proofErr w:type="spellEnd"/>
            <w:r w:rsidRPr="00DB5AA7">
              <w:rPr>
                <w:sz w:val="18"/>
                <w:szCs w:val="18"/>
                <w:lang w:val="en-US"/>
              </w:rPr>
              <w:t xml:space="preserve"> </w:t>
            </w:r>
            <w:proofErr w:type="spellStart"/>
            <w:r w:rsidRPr="00DB5AA7">
              <w:rPr>
                <w:sz w:val="18"/>
                <w:szCs w:val="18"/>
                <w:lang w:val="en-US"/>
              </w:rPr>
              <w:t>unei</w:t>
            </w:r>
            <w:proofErr w:type="spellEnd"/>
            <w:r w:rsidRPr="00DB5AA7">
              <w:rPr>
                <w:sz w:val="18"/>
                <w:szCs w:val="18"/>
                <w:lang w:val="en-US"/>
              </w:rPr>
              <w:t xml:space="preserve"> </w:t>
            </w:r>
            <w:proofErr w:type="spellStart"/>
            <w:r w:rsidRPr="00DB5AA7">
              <w:rPr>
                <w:sz w:val="18"/>
                <w:szCs w:val="18"/>
                <w:lang w:val="en-US"/>
              </w:rPr>
              <w:t>ponderi</w:t>
            </w:r>
            <w:proofErr w:type="spellEnd"/>
            <w:r w:rsidRPr="00DB5AA7">
              <w:rPr>
                <w:sz w:val="18"/>
                <w:szCs w:val="18"/>
                <w:lang w:val="en-US"/>
              </w:rPr>
              <w:t xml:space="preserve"> de </w:t>
            </w:r>
            <w:proofErr w:type="spellStart"/>
            <w:r w:rsidRPr="00DB5AA7">
              <w:rPr>
                <w:sz w:val="18"/>
                <w:szCs w:val="18"/>
                <w:lang w:val="en-US"/>
              </w:rPr>
              <w:t>risc</w:t>
            </w:r>
            <w:proofErr w:type="spellEnd"/>
            <w:r w:rsidRPr="00DB5AA7">
              <w:rPr>
                <w:sz w:val="18"/>
                <w:szCs w:val="18"/>
                <w:lang w:val="en-US"/>
              </w:rPr>
              <w:t xml:space="preserve"> de 1 250 % </w:t>
            </w:r>
            <w:proofErr w:type="spellStart"/>
            <w:r w:rsidRPr="00DB5AA7">
              <w:rPr>
                <w:sz w:val="18"/>
                <w:szCs w:val="18"/>
                <w:lang w:val="en-US"/>
              </w:rPr>
              <w:t>expunerilor</w:t>
            </w:r>
            <w:proofErr w:type="spellEnd"/>
            <w:r w:rsidRPr="00DB5AA7">
              <w:rPr>
                <w:sz w:val="18"/>
                <w:szCs w:val="18"/>
                <w:lang w:val="en-US"/>
              </w:rPr>
              <w:t xml:space="preserve"> din </w:t>
            </w:r>
            <w:proofErr w:type="spellStart"/>
            <w:r w:rsidRPr="00DB5AA7">
              <w:rPr>
                <w:sz w:val="18"/>
                <w:szCs w:val="18"/>
                <w:lang w:val="en-US"/>
              </w:rPr>
              <w:t>tranzacţiile</w:t>
            </w:r>
            <w:proofErr w:type="spellEnd"/>
            <w:r w:rsidRPr="00DB5AA7">
              <w:rPr>
                <w:sz w:val="18"/>
                <w:szCs w:val="18"/>
                <w:lang w:val="en-US"/>
              </w:rPr>
              <w:t xml:space="preserve"> incomplete,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conformitate</w:t>
            </w:r>
            <w:proofErr w:type="spellEnd"/>
            <w:r w:rsidRPr="00DB5AA7">
              <w:rPr>
                <w:sz w:val="18"/>
                <w:szCs w:val="18"/>
                <w:lang w:val="en-US"/>
              </w:rPr>
              <w:t xml:space="preserve"> cu </w:t>
            </w:r>
            <w:proofErr w:type="spellStart"/>
            <w:r w:rsidRPr="00DB5AA7">
              <w:rPr>
                <w:sz w:val="18"/>
                <w:szCs w:val="18"/>
                <w:lang w:val="en-US"/>
              </w:rPr>
              <w:t>coloana</w:t>
            </w:r>
            <w:proofErr w:type="spellEnd"/>
            <w:r w:rsidRPr="00DB5AA7">
              <w:rPr>
                <w:sz w:val="18"/>
                <w:szCs w:val="18"/>
                <w:lang w:val="en-US"/>
              </w:rPr>
              <w:t xml:space="preserve"> 4 din </w:t>
            </w:r>
            <w:proofErr w:type="spellStart"/>
            <w:r w:rsidRPr="00DB5AA7">
              <w:rPr>
                <w:sz w:val="18"/>
                <w:szCs w:val="18"/>
                <w:lang w:val="en-US"/>
              </w:rPr>
              <w:t>tabelul</w:t>
            </w:r>
            <w:proofErr w:type="spellEnd"/>
            <w:r w:rsidRPr="00DB5AA7">
              <w:rPr>
                <w:sz w:val="18"/>
                <w:szCs w:val="18"/>
                <w:lang w:val="en-US"/>
              </w:rPr>
              <w:t xml:space="preserve"> 2 de la </w:t>
            </w:r>
            <w:proofErr w:type="spellStart"/>
            <w:r w:rsidRPr="00DB5AA7">
              <w:rPr>
                <w:sz w:val="18"/>
                <w:szCs w:val="18"/>
                <w:lang w:val="en-US"/>
              </w:rPr>
              <w:t>alineatul</w:t>
            </w:r>
            <w:proofErr w:type="spellEnd"/>
            <w:r w:rsidRPr="00DB5AA7">
              <w:rPr>
                <w:sz w:val="18"/>
                <w:szCs w:val="18"/>
                <w:lang w:val="en-US"/>
              </w:rPr>
              <w:t xml:space="preserve"> (1), </w:t>
            </w:r>
            <w:proofErr w:type="spellStart"/>
            <w:r w:rsidRPr="00DB5AA7">
              <w:rPr>
                <w:sz w:val="18"/>
                <w:szCs w:val="18"/>
                <w:lang w:val="en-US"/>
              </w:rPr>
              <w:t>instituţiile</w:t>
            </w:r>
            <w:proofErr w:type="spellEnd"/>
            <w:r w:rsidRPr="00DB5AA7">
              <w:rPr>
                <w:sz w:val="18"/>
                <w:szCs w:val="18"/>
                <w:lang w:val="en-US"/>
              </w:rPr>
              <w:t xml:space="preserve"> pot deduce </w:t>
            </w:r>
            <w:proofErr w:type="spellStart"/>
            <w:r w:rsidRPr="00DB5AA7">
              <w:rPr>
                <w:sz w:val="18"/>
                <w:szCs w:val="18"/>
                <w:lang w:val="en-US"/>
              </w:rPr>
              <w:t>valoarea</w:t>
            </w:r>
            <w:proofErr w:type="spellEnd"/>
            <w:r w:rsidRPr="00DB5AA7">
              <w:rPr>
                <w:sz w:val="18"/>
                <w:szCs w:val="18"/>
                <w:lang w:val="en-US"/>
              </w:rPr>
              <w:t xml:space="preserve"> </w:t>
            </w:r>
            <w:proofErr w:type="spellStart"/>
            <w:r w:rsidRPr="00DB5AA7">
              <w:rPr>
                <w:sz w:val="18"/>
                <w:szCs w:val="18"/>
                <w:lang w:val="en-US"/>
              </w:rPr>
              <w:t>transferată</w:t>
            </w:r>
            <w:proofErr w:type="spellEnd"/>
            <w:r w:rsidRPr="00DB5AA7">
              <w:rPr>
                <w:sz w:val="18"/>
                <w:szCs w:val="18"/>
                <w:lang w:val="en-US"/>
              </w:rPr>
              <w:t xml:space="preserve"> plus </w:t>
            </w:r>
            <w:proofErr w:type="spellStart"/>
            <w:r w:rsidRPr="00DB5AA7">
              <w:rPr>
                <w:sz w:val="18"/>
                <w:szCs w:val="18"/>
                <w:lang w:val="en-US"/>
              </w:rPr>
              <w:t>expunerea</w:t>
            </w:r>
            <w:proofErr w:type="spellEnd"/>
            <w:r w:rsidRPr="00DB5AA7">
              <w:rPr>
                <w:sz w:val="18"/>
                <w:szCs w:val="18"/>
                <w:lang w:val="en-US"/>
              </w:rPr>
              <w:t xml:space="preserve"> </w:t>
            </w:r>
            <w:proofErr w:type="spellStart"/>
            <w:r w:rsidRPr="00DB5AA7">
              <w:rPr>
                <w:sz w:val="18"/>
                <w:szCs w:val="18"/>
                <w:lang w:val="en-US"/>
              </w:rPr>
              <w:t>curentă</w:t>
            </w:r>
            <w:proofErr w:type="spellEnd"/>
            <w:r w:rsidRPr="00DB5AA7">
              <w:rPr>
                <w:sz w:val="18"/>
                <w:szCs w:val="18"/>
                <w:lang w:val="en-US"/>
              </w:rPr>
              <w:t xml:space="preserve"> </w:t>
            </w:r>
            <w:proofErr w:type="spellStart"/>
            <w:r w:rsidRPr="00DB5AA7">
              <w:rPr>
                <w:sz w:val="18"/>
                <w:szCs w:val="18"/>
                <w:lang w:val="en-US"/>
              </w:rPr>
              <w:t>pozitivă</w:t>
            </w:r>
            <w:proofErr w:type="spellEnd"/>
            <w:r w:rsidRPr="00DB5AA7">
              <w:rPr>
                <w:sz w:val="18"/>
                <w:szCs w:val="18"/>
                <w:lang w:val="en-US"/>
              </w:rPr>
              <w:t xml:space="preserve"> </w:t>
            </w:r>
            <w:proofErr w:type="gramStart"/>
            <w:r w:rsidRPr="00DB5AA7">
              <w:rPr>
                <w:sz w:val="18"/>
                <w:szCs w:val="18"/>
                <w:lang w:val="en-US"/>
              </w:rPr>
              <w:t>a</w:t>
            </w:r>
            <w:proofErr w:type="gramEnd"/>
            <w:r w:rsidRPr="00DB5AA7">
              <w:rPr>
                <w:sz w:val="18"/>
                <w:szCs w:val="18"/>
                <w:lang w:val="en-US"/>
              </w:rPr>
              <w:t xml:space="preserve"> </w:t>
            </w:r>
            <w:proofErr w:type="spellStart"/>
            <w:r w:rsidRPr="00DB5AA7">
              <w:rPr>
                <w:sz w:val="18"/>
                <w:szCs w:val="18"/>
                <w:lang w:val="en-US"/>
              </w:rPr>
              <w:t>acestor</w:t>
            </w:r>
            <w:proofErr w:type="spellEnd"/>
            <w:r w:rsidRPr="00DB5AA7">
              <w:rPr>
                <w:sz w:val="18"/>
                <w:szCs w:val="18"/>
                <w:lang w:val="en-US"/>
              </w:rPr>
              <w:t xml:space="preserve"> </w:t>
            </w:r>
            <w:proofErr w:type="spellStart"/>
            <w:r w:rsidRPr="00DB5AA7">
              <w:rPr>
                <w:sz w:val="18"/>
                <w:szCs w:val="18"/>
                <w:lang w:val="en-US"/>
              </w:rPr>
              <w:t>expuneri</w:t>
            </w:r>
            <w:proofErr w:type="spellEnd"/>
            <w:r w:rsidRPr="00DB5AA7">
              <w:rPr>
                <w:sz w:val="18"/>
                <w:szCs w:val="18"/>
                <w:lang w:val="en-US"/>
              </w:rPr>
              <w:t xml:space="preserve">, din </w:t>
            </w:r>
            <w:proofErr w:type="spellStart"/>
            <w:r w:rsidRPr="00DB5AA7">
              <w:rPr>
                <w:sz w:val="18"/>
                <w:szCs w:val="18"/>
                <w:lang w:val="en-US"/>
              </w:rPr>
              <w:t>elementele</w:t>
            </w:r>
            <w:proofErr w:type="spellEnd"/>
            <w:r w:rsidRPr="00DB5AA7">
              <w:rPr>
                <w:sz w:val="18"/>
                <w:szCs w:val="18"/>
                <w:lang w:val="en-US"/>
              </w:rPr>
              <w:t xml:space="preserve"> de </w:t>
            </w:r>
            <w:proofErr w:type="spellStart"/>
            <w:r w:rsidRPr="00DB5AA7">
              <w:rPr>
                <w:sz w:val="18"/>
                <w:szCs w:val="18"/>
                <w:lang w:val="en-US"/>
              </w:rPr>
              <w:t>fonduri</w:t>
            </w:r>
            <w:proofErr w:type="spellEnd"/>
            <w:r w:rsidRPr="00DB5AA7">
              <w:rPr>
                <w:sz w:val="18"/>
                <w:szCs w:val="18"/>
                <w:lang w:val="en-US"/>
              </w:rPr>
              <w:t xml:space="preserve"> </w:t>
            </w:r>
            <w:proofErr w:type="spellStart"/>
            <w:r w:rsidRPr="00DB5AA7">
              <w:rPr>
                <w:sz w:val="18"/>
                <w:szCs w:val="18"/>
                <w:lang w:val="en-US"/>
              </w:rPr>
              <w:t>proprii</w:t>
            </w:r>
            <w:proofErr w:type="spellEnd"/>
            <w:r w:rsidRPr="00DB5AA7">
              <w:rPr>
                <w:sz w:val="18"/>
                <w:szCs w:val="18"/>
                <w:lang w:val="en-US"/>
              </w:rPr>
              <w:t xml:space="preserve"> de </w:t>
            </w:r>
            <w:proofErr w:type="spellStart"/>
            <w:r w:rsidRPr="00DB5AA7">
              <w:rPr>
                <w:sz w:val="18"/>
                <w:szCs w:val="18"/>
                <w:lang w:val="en-US"/>
              </w:rPr>
              <w:t>nivel</w:t>
            </w:r>
            <w:proofErr w:type="spellEnd"/>
            <w:r w:rsidRPr="00DB5AA7">
              <w:rPr>
                <w:sz w:val="18"/>
                <w:szCs w:val="18"/>
                <w:lang w:val="en-US"/>
              </w:rPr>
              <w:t xml:space="preserve"> 1 de </w:t>
            </w:r>
            <w:proofErr w:type="spellStart"/>
            <w:r w:rsidRPr="00DB5AA7">
              <w:rPr>
                <w:sz w:val="18"/>
                <w:szCs w:val="18"/>
                <w:lang w:val="en-US"/>
              </w:rPr>
              <w:t>bază</w:t>
            </w:r>
            <w:proofErr w:type="spellEnd"/>
            <w:r w:rsidRPr="00DB5AA7">
              <w:rPr>
                <w:sz w:val="18"/>
                <w:szCs w:val="18"/>
                <w:lang w:val="en-US"/>
              </w:rPr>
              <w:t xml:space="preserve">, </w:t>
            </w:r>
            <w:proofErr w:type="spellStart"/>
            <w:r w:rsidRPr="00DB5AA7">
              <w:rPr>
                <w:sz w:val="18"/>
                <w:szCs w:val="18"/>
                <w:lang w:val="en-US"/>
              </w:rPr>
              <w:t>în</w:t>
            </w:r>
            <w:proofErr w:type="spellEnd"/>
            <w:r w:rsidRPr="00DB5AA7">
              <w:rPr>
                <w:sz w:val="18"/>
                <w:szCs w:val="18"/>
                <w:lang w:val="en-US"/>
              </w:rPr>
              <w:t xml:space="preserve"> </w:t>
            </w:r>
            <w:proofErr w:type="spellStart"/>
            <w:r w:rsidRPr="00DB5AA7">
              <w:rPr>
                <w:sz w:val="18"/>
                <w:szCs w:val="18"/>
                <w:lang w:val="en-US"/>
              </w:rPr>
              <w:t>conformitate</w:t>
            </w:r>
            <w:proofErr w:type="spellEnd"/>
            <w:r w:rsidRPr="00DB5AA7">
              <w:rPr>
                <w:sz w:val="18"/>
                <w:szCs w:val="18"/>
                <w:lang w:val="en-US"/>
              </w:rPr>
              <w:t xml:space="preserve"> cu </w:t>
            </w:r>
            <w:proofErr w:type="spellStart"/>
            <w:r w:rsidRPr="00DB5AA7">
              <w:rPr>
                <w:sz w:val="18"/>
                <w:szCs w:val="18"/>
                <w:lang w:val="en-US"/>
              </w:rPr>
              <w:t>articolul</w:t>
            </w:r>
            <w:proofErr w:type="spellEnd"/>
            <w:r w:rsidRPr="00DB5AA7">
              <w:rPr>
                <w:sz w:val="18"/>
                <w:szCs w:val="18"/>
                <w:lang w:val="en-US"/>
              </w:rPr>
              <w:t xml:space="preserve"> 36 </w:t>
            </w:r>
            <w:proofErr w:type="spellStart"/>
            <w:r w:rsidRPr="00DB5AA7">
              <w:rPr>
                <w:sz w:val="18"/>
                <w:szCs w:val="18"/>
                <w:lang w:val="en-US"/>
              </w:rPr>
              <w:t>alineatul</w:t>
            </w:r>
            <w:proofErr w:type="spellEnd"/>
            <w:r w:rsidRPr="00DB5AA7">
              <w:rPr>
                <w:sz w:val="18"/>
                <w:szCs w:val="18"/>
                <w:lang w:val="en-US"/>
              </w:rPr>
              <w:t xml:space="preserve"> (1) </w:t>
            </w:r>
            <w:proofErr w:type="spellStart"/>
            <w:r w:rsidRPr="00DB5AA7">
              <w:rPr>
                <w:sz w:val="18"/>
                <w:szCs w:val="18"/>
                <w:lang w:val="en-US"/>
              </w:rPr>
              <w:t>litera</w:t>
            </w:r>
            <w:proofErr w:type="spellEnd"/>
            <w:r w:rsidRPr="00DB5AA7">
              <w:rPr>
                <w:sz w:val="18"/>
                <w:szCs w:val="18"/>
                <w:lang w:val="en-US"/>
              </w:rPr>
              <w:t xml:space="preserve"> (k). </w:t>
            </w:r>
          </w:p>
          <w:p w14:paraId="2046801A" w14:textId="77777777" w:rsidR="009E142A" w:rsidRPr="00DB5AA7" w:rsidRDefault="009E142A" w:rsidP="009E142A">
            <w:pPr>
              <w:rPr>
                <w:sz w:val="18"/>
                <w:szCs w:val="18"/>
                <w:lang w:val="en-US"/>
              </w:rPr>
            </w:pPr>
          </w:p>
        </w:tc>
        <w:tc>
          <w:tcPr>
            <w:tcW w:w="3685" w:type="dxa"/>
            <w:shd w:val="clear" w:color="auto" w:fill="auto"/>
          </w:tcPr>
          <w:p w14:paraId="22A25732" w14:textId="77777777" w:rsidR="009E142A" w:rsidRDefault="00C4000F" w:rsidP="00C0636D">
            <w:pPr>
              <w:tabs>
                <w:tab w:val="left" w:pos="317"/>
              </w:tabs>
              <w:ind w:left="-43"/>
              <w:rPr>
                <w:sz w:val="18"/>
                <w:szCs w:val="18"/>
                <w:lang w:val="en-US" w:eastAsia="ro-MD"/>
              </w:rPr>
            </w:pPr>
            <w:r w:rsidRPr="00C4000F">
              <w:rPr>
                <w:b/>
                <w:bCs/>
                <w:sz w:val="18"/>
                <w:szCs w:val="18"/>
                <w:lang w:val="en-US" w:eastAsia="ro-MD"/>
              </w:rPr>
              <w:t>10.</w:t>
            </w:r>
            <w:r w:rsidRPr="00C4000F">
              <w:rPr>
                <w:sz w:val="18"/>
                <w:szCs w:val="18"/>
                <w:lang w:val="en-US" w:eastAsia="ro-MD"/>
              </w:rPr>
              <w:t xml:space="preserve"> Ca </w:t>
            </w:r>
            <w:proofErr w:type="spellStart"/>
            <w:r w:rsidRPr="00C4000F">
              <w:rPr>
                <w:sz w:val="18"/>
                <w:szCs w:val="18"/>
                <w:lang w:val="en-US" w:eastAsia="ro-MD"/>
              </w:rPr>
              <w:t>alternativă</w:t>
            </w:r>
            <w:proofErr w:type="spellEnd"/>
            <w:r w:rsidRPr="00C4000F">
              <w:rPr>
                <w:sz w:val="18"/>
                <w:szCs w:val="18"/>
                <w:lang w:val="en-US" w:eastAsia="ro-MD"/>
              </w:rPr>
              <w:t xml:space="preserve"> la </w:t>
            </w:r>
            <w:proofErr w:type="spellStart"/>
            <w:r w:rsidRPr="00C4000F">
              <w:rPr>
                <w:sz w:val="18"/>
                <w:szCs w:val="18"/>
                <w:lang w:val="en-US" w:eastAsia="ro-MD"/>
              </w:rPr>
              <w:t>aplicarea</w:t>
            </w:r>
            <w:proofErr w:type="spellEnd"/>
            <w:r w:rsidRPr="00C4000F">
              <w:rPr>
                <w:sz w:val="18"/>
                <w:szCs w:val="18"/>
                <w:lang w:val="en-US" w:eastAsia="ro-MD"/>
              </w:rPr>
              <w:t xml:space="preserve"> </w:t>
            </w:r>
            <w:proofErr w:type="spellStart"/>
            <w:r w:rsidRPr="00C4000F">
              <w:rPr>
                <w:sz w:val="18"/>
                <w:szCs w:val="18"/>
                <w:lang w:val="en-US" w:eastAsia="ro-MD"/>
              </w:rPr>
              <w:t>unei</w:t>
            </w:r>
            <w:proofErr w:type="spellEnd"/>
            <w:r w:rsidRPr="00C4000F">
              <w:rPr>
                <w:sz w:val="18"/>
                <w:szCs w:val="18"/>
                <w:lang w:val="en-US" w:eastAsia="ro-MD"/>
              </w:rPr>
              <w:t xml:space="preserve"> </w:t>
            </w:r>
            <w:proofErr w:type="spellStart"/>
            <w:r w:rsidRPr="00C4000F">
              <w:rPr>
                <w:sz w:val="18"/>
                <w:szCs w:val="18"/>
                <w:lang w:val="en-US" w:eastAsia="ro-MD"/>
              </w:rPr>
              <w:t>ponderi</w:t>
            </w:r>
            <w:proofErr w:type="spellEnd"/>
            <w:r w:rsidRPr="00C4000F">
              <w:rPr>
                <w:sz w:val="18"/>
                <w:szCs w:val="18"/>
                <w:lang w:val="en-US" w:eastAsia="ro-MD"/>
              </w:rPr>
              <w:t xml:space="preserve"> de </w:t>
            </w:r>
            <w:proofErr w:type="spellStart"/>
            <w:r w:rsidRPr="00C4000F">
              <w:rPr>
                <w:sz w:val="18"/>
                <w:szCs w:val="18"/>
                <w:lang w:val="en-US" w:eastAsia="ro-MD"/>
              </w:rPr>
              <w:t>risc</w:t>
            </w:r>
            <w:proofErr w:type="spellEnd"/>
            <w:r w:rsidRPr="00C4000F">
              <w:rPr>
                <w:sz w:val="18"/>
                <w:szCs w:val="18"/>
                <w:lang w:val="en-US" w:eastAsia="ro-MD"/>
              </w:rPr>
              <w:t xml:space="preserve"> de 1000% </w:t>
            </w:r>
            <w:proofErr w:type="spellStart"/>
            <w:r w:rsidRPr="00C4000F">
              <w:rPr>
                <w:sz w:val="18"/>
                <w:szCs w:val="18"/>
                <w:lang w:val="en-US" w:eastAsia="ro-MD"/>
              </w:rPr>
              <w:t>expunerilor</w:t>
            </w:r>
            <w:proofErr w:type="spellEnd"/>
            <w:r w:rsidRPr="00C4000F">
              <w:rPr>
                <w:sz w:val="18"/>
                <w:szCs w:val="18"/>
                <w:lang w:val="en-US" w:eastAsia="ro-MD"/>
              </w:rPr>
              <w:t xml:space="preserve"> din </w:t>
            </w:r>
            <w:proofErr w:type="spellStart"/>
            <w:r w:rsidRPr="00C4000F">
              <w:rPr>
                <w:sz w:val="18"/>
                <w:szCs w:val="18"/>
                <w:lang w:val="en-US" w:eastAsia="ro-MD"/>
              </w:rPr>
              <w:t>tranzacţiile</w:t>
            </w:r>
            <w:proofErr w:type="spellEnd"/>
            <w:r w:rsidRPr="00C4000F">
              <w:rPr>
                <w:sz w:val="18"/>
                <w:szCs w:val="18"/>
                <w:lang w:val="en-US" w:eastAsia="ro-MD"/>
              </w:rPr>
              <w:t xml:space="preserve"> incomplete, </w:t>
            </w:r>
            <w:proofErr w:type="spellStart"/>
            <w:r w:rsidRPr="00C4000F">
              <w:rPr>
                <w:sz w:val="18"/>
                <w:szCs w:val="18"/>
                <w:lang w:val="en-US" w:eastAsia="ro-MD"/>
              </w:rPr>
              <w:t>în</w:t>
            </w:r>
            <w:proofErr w:type="spellEnd"/>
            <w:r w:rsidRPr="00C4000F">
              <w:rPr>
                <w:sz w:val="18"/>
                <w:szCs w:val="18"/>
                <w:lang w:val="en-US" w:eastAsia="ro-MD"/>
              </w:rPr>
              <w:t xml:space="preserve"> </w:t>
            </w:r>
            <w:proofErr w:type="spellStart"/>
            <w:r w:rsidRPr="00C4000F">
              <w:rPr>
                <w:sz w:val="18"/>
                <w:szCs w:val="18"/>
                <w:lang w:val="en-US" w:eastAsia="ro-MD"/>
              </w:rPr>
              <w:t>conformitate</w:t>
            </w:r>
            <w:proofErr w:type="spellEnd"/>
            <w:r w:rsidRPr="00C4000F">
              <w:rPr>
                <w:sz w:val="18"/>
                <w:szCs w:val="18"/>
                <w:lang w:val="en-US" w:eastAsia="ro-MD"/>
              </w:rPr>
              <w:t xml:space="preserve"> cu </w:t>
            </w:r>
            <w:proofErr w:type="spellStart"/>
            <w:r w:rsidRPr="00C4000F">
              <w:rPr>
                <w:sz w:val="18"/>
                <w:szCs w:val="18"/>
                <w:lang w:val="en-US" w:eastAsia="ro-MD"/>
              </w:rPr>
              <w:t>coloana</w:t>
            </w:r>
            <w:proofErr w:type="spellEnd"/>
            <w:r w:rsidRPr="00C4000F">
              <w:rPr>
                <w:sz w:val="18"/>
                <w:szCs w:val="18"/>
                <w:lang w:val="en-US" w:eastAsia="ro-MD"/>
              </w:rPr>
              <w:t xml:space="preserve"> 4 din </w:t>
            </w:r>
            <w:proofErr w:type="spellStart"/>
            <w:r w:rsidRPr="00C4000F">
              <w:rPr>
                <w:sz w:val="18"/>
                <w:szCs w:val="18"/>
                <w:lang w:val="en-US" w:eastAsia="ro-MD"/>
              </w:rPr>
              <w:t>tabelul</w:t>
            </w:r>
            <w:proofErr w:type="spellEnd"/>
            <w:r w:rsidRPr="00C4000F">
              <w:rPr>
                <w:sz w:val="18"/>
                <w:szCs w:val="18"/>
                <w:lang w:val="en-US" w:eastAsia="ro-MD"/>
              </w:rPr>
              <w:t xml:space="preserve"> 2 de la </w:t>
            </w:r>
            <w:proofErr w:type="spellStart"/>
            <w:r w:rsidRPr="00C4000F">
              <w:rPr>
                <w:sz w:val="18"/>
                <w:szCs w:val="18"/>
                <w:lang w:val="en-US" w:eastAsia="ro-MD"/>
              </w:rPr>
              <w:t>punctul</w:t>
            </w:r>
            <w:proofErr w:type="spellEnd"/>
            <w:r w:rsidRPr="00C4000F">
              <w:rPr>
                <w:sz w:val="18"/>
                <w:szCs w:val="18"/>
                <w:lang w:val="en-US" w:eastAsia="ro-MD"/>
              </w:rPr>
              <w:t xml:space="preserve"> 9 din </w:t>
            </w:r>
            <w:proofErr w:type="spellStart"/>
            <w:r w:rsidRPr="00C4000F">
              <w:rPr>
                <w:sz w:val="18"/>
                <w:szCs w:val="18"/>
                <w:lang w:val="en-US" w:eastAsia="ro-MD"/>
              </w:rPr>
              <w:t>prezentul</w:t>
            </w:r>
            <w:proofErr w:type="spellEnd"/>
            <w:r w:rsidRPr="00C4000F">
              <w:rPr>
                <w:sz w:val="18"/>
                <w:szCs w:val="18"/>
                <w:lang w:val="en-US" w:eastAsia="ro-MD"/>
              </w:rPr>
              <w:t xml:space="preserve"> </w:t>
            </w:r>
            <w:proofErr w:type="spellStart"/>
            <w:r w:rsidRPr="00C4000F">
              <w:rPr>
                <w:sz w:val="18"/>
                <w:szCs w:val="18"/>
                <w:lang w:val="en-US" w:eastAsia="ro-MD"/>
              </w:rPr>
              <w:t>regulament</w:t>
            </w:r>
            <w:proofErr w:type="spellEnd"/>
            <w:r w:rsidRPr="00C4000F">
              <w:rPr>
                <w:sz w:val="18"/>
                <w:szCs w:val="18"/>
                <w:lang w:val="en-US" w:eastAsia="ro-MD"/>
              </w:rPr>
              <w:t xml:space="preserve">, </w:t>
            </w:r>
            <w:proofErr w:type="spellStart"/>
            <w:r w:rsidRPr="00C4000F">
              <w:rPr>
                <w:sz w:val="18"/>
                <w:szCs w:val="18"/>
                <w:lang w:val="en-US" w:eastAsia="ro-MD"/>
              </w:rPr>
              <w:t>băncile</w:t>
            </w:r>
            <w:proofErr w:type="spellEnd"/>
            <w:r w:rsidRPr="00C4000F">
              <w:rPr>
                <w:sz w:val="18"/>
                <w:szCs w:val="18"/>
                <w:lang w:val="en-US" w:eastAsia="ro-MD"/>
              </w:rPr>
              <w:t xml:space="preserve"> pot deduce </w:t>
            </w:r>
            <w:proofErr w:type="spellStart"/>
            <w:r w:rsidRPr="00C4000F">
              <w:rPr>
                <w:sz w:val="18"/>
                <w:szCs w:val="18"/>
                <w:lang w:val="en-US" w:eastAsia="ro-MD"/>
              </w:rPr>
              <w:t>valoarea</w:t>
            </w:r>
            <w:proofErr w:type="spellEnd"/>
            <w:r w:rsidRPr="00C4000F">
              <w:rPr>
                <w:sz w:val="18"/>
                <w:szCs w:val="18"/>
                <w:lang w:val="en-US" w:eastAsia="ro-MD"/>
              </w:rPr>
              <w:t xml:space="preserve"> </w:t>
            </w:r>
            <w:proofErr w:type="spellStart"/>
            <w:r w:rsidRPr="00C4000F">
              <w:rPr>
                <w:sz w:val="18"/>
                <w:szCs w:val="18"/>
                <w:lang w:val="en-US" w:eastAsia="ro-MD"/>
              </w:rPr>
              <w:t>transferată</w:t>
            </w:r>
            <w:proofErr w:type="spellEnd"/>
            <w:r w:rsidRPr="00C4000F">
              <w:rPr>
                <w:sz w:val="18"/>
                <w:szCs w:val="18"/>
                <w:lang w:val="en-US" w:eastAsia="ro-MD"/>
              </w:rPr>
              <w:t xml:space="preserve"> plus </w:t>
            </w:r>
            <w:proofErr w:type="spellStart"/>
            <w:r w:rsidRPr="00C4000F">
              <w:rPr>
                <w:sz w:val="18"/>
                <w:szCs w:val="18"/>
                <w:lang w:val="en-US" w:eastAsia="ro-MD"/>
              </w:rPr>
              <w:t>expunerea</w:t>
            </w:r>
            <w:proofErr w:type="spellEnd"/>
            <w:r w:rsidRPr="00C4000F">
              <w:rPr>
                <w:sz w:val="18"/>
                <w:szCs w:val="18"/>
                <w:lang w:val="en-US" w:eastAsia="ro-MD"/>
              </w:rPr>
              <w:t xml:space="preserve"> </w:t>
            </w:r>
            <w:proofErr w:type="spellStart"/>
            <w:r w:rsidRPr="00C4000F">
              <w:rPr>
                <w:sz w:val="18"/>
                <w:szCs w:val="18"/>
                <w:lang w:val="en-US" w:eastAsia="ro-MD"/>
              </w:rPr>
              <w:t>curentă</w:t>
            </w:r>
            <w:proofErr w:type="spellEnd"/>
            <w:r w:rsidRPr="00C4000F">
              <w:rPr>
                <w:sz w:val="18"/>
                <w:szCs w:val="18"/>
                <w:lang w:val="en-US" w:eastAsia="ro-MD"/>
              </w:rPr>
              <w:t xml:space="preserve"> </w:t>
            </w:r>
            <w:proofErr w:type="spellStart"/>
            <w:r w:rsidRPr="00C4000F">
              <w:rPr>
                <w:sz w:val="18"/>
                <w:szCs w:val="18"/>
                <w:lang w:val="en-US" w:eastAsia="ro-MD"/>
              </w:rPr>
              <w:t>pozitivă</w:t>
            </w:r>
            <w:proofErr w:type="spellEnd"/>
            <w:r w:rsidRPr="00C4000F">
              <w:rPr>
                <w:sz w:val="18"/>
                <w:szCs w:val="18"/>
                <w:lang w:val="en-US" w:eastAsia="ro-MD"/>
              </w:rPr>
              <w:t xml:space="preserve"> </w:t>
            </w:r>
            <w:proofErr w:type="gramStart"/>
            <w:r w:rsidRPr="00C4000F">
              <w:rPr>
                <w:sz w:val="18"/>
                <w:szCs w:val="18"/>
                <w:lang w:val="en-US" w:eastAsia="ro-MD"/>
              </w:rPr>
              <w:t>a</w:t>
            </w:r>
            <w:proofErr w:type="gramEnd"/>
            <w:r w:rsidRPr="00C4000F">
              <w:rPr>
                <w:sz w:val="18"/>
                <w:szCs w:val="18"/>
                <w:lang w:val="en-US" w:eastAsia="ro-MD"/>
              </w:rPr>
              <w:t xml:space="preserve"> </w:t>
            </w:r>
            <w:proofErr w:type="spellStart"/>
            <w:r w:rsidRPr="00C4000F">
              <w:rPr>
                <w:sz w:val="18"/>
                <w:szCs w:val="18"/>
                <w:lang w:val="en-US" w:eastAsia="ro-MD"/>
              </w:rPr>
              <w:t>acestor</w:t>
            </w:r>
            <w:proofErr w:type="spellEnd"/>
            <w:r w:rsidRPr="00C4000F">
              <w:rPr>
                <w:sz w:val="18"/>
                <w:szCs w:val="18"/>
                <w:lang w:val="en-US" w:eastAsia="ro-MD"/>
              </w:rPr>
              <w:t xml:space="preserve"> </w:t>
            </w:r>
            <w:proofErr w:type="spellStart"/>
            <w:r w:rsidRPr="00C4000F">
              <w:rPr>
                <w:sz w:val="18"/>
                <w:szCs w:val="18"/>
                <w:lang w:val="en-US" w:eastAsia="ro-MD"/>
              </w:rPr>
              <w:t>expuneri</w:t>
            </w:r>
            <w:proofErr w:type="spellEnd"/>
            <w:r w:rsidRPr="00C4000F">
              <w:rPr>
                <w:sz w:val="18"/>
                <w:szCs w:val="18"/>
                <w:lang w:val="en-US" w:eastAsia="ro-MD"/>
              </w:rPr>
              <w:t xml:space="preserve">, din </w:t>
            </w:r>
            <w:proofErr w:type="spellStart"/>
            <w:r w:rsidRPr="00C4000F">
              <w:rPr>
                <w:sz w:val="18"/>
                <w:szCs w:val="18"/>
                <w:lang w:val="en-US" w:eastAsia="ro-MD"/>
              </w:rPr>
              <w:t>elementele</w:t>
            </w:r>
            <w:proofErr w:type="spellEnd"/>
            <w:r w:rsidRPr="00C4000F">
              <w:rPr>
                <w:sz w:val="18"/>
                <w:szCs w:val="18"/>
                <w:lang w:val="en-US" w:eastAsia="ro-MD"/>
              </w:rPr>
              <w:t xml:space="preserve"> de </w:t>
            </w:r>
            <w:proofErr w:type="spellStart"/>
            <w:r w:rsidRPr="00C4000F">
              <w:rPr>
                <w:sz w:val="18"/>
                <w:szCs w:val="18"/>
                <w:lang w:val="en-US" w:eastAsia="ro-MD"/>
              </w:rPr>
              <w:t>fonduri</w:t>
            </w:r>
            <w:proofErr w:type="spellEnd"/>
            <w:r w:rsidRPr="00C4000F">
              <w:rPr>
                <w:sz w:val="18"/>
                <w:szCs w:val="18"/>
                <w:lang w:val="en-US" w:eastAsia="ro-MD"/>
              </w:rPr>
              <w:t xml:space="preserve"> </w:t>
            </w:r>
            <w:proofErr w:type="spellStart"/>
            <w:r w:rsidRPr="00C4000F">
              <w:rPr>
                <w:sz w:val="18"/>
                <w:szCs w:val="18"/>
                <w:lang w:val="en-US" w:eastAsia="ro-MD"/>
              </w:rPr>
              <w:t>proprii</w:t>
            </w:r>
            <w:proofErr w:type="spellEnd"/>
            <w:r w:rsidRPr="00C4000F">
              <w:rPr>
                <w:sz w:val="18"/>
                <w:szCs w:val="18"/>
                <w:lang w:val="en-US" w:eastAsia="ro-MD"/>
              </w:rPr>
              <w:t xml:space="preserve"> de </w:t>
            </w:r>
            <w:proofErr w:type="spellStart"/>
            <w:r w:rsidRPr="00C4000F">
              <w:rPr>
                <w:sz w:val="18"/>
                <w:szCs w:val="18"/>
                <w:lang w:val="en-US" w:eastAsia="ro-MD"/>
              </w:rPr>
              <w:t>nivel</w:t>
            </w:r>
            <w:proofErr w:type="spellEnd"/>
            <w:r w:rsidRPr="00C4000F">
              <w:rPr>
                <w:sz w:val="18"/>
                <w:szCs w:val="18"/>
                <w:lang w:val="en-US" w:eastAsia="ro-MD"/>
              </w:rPr>
              <w:t xml:space="preserve"> 1 de </w:t>
            </w:r>
            <w:proofErr w:type="spellStart"/>
            <w:r w:rsidRPr="00C4000F">
              <w:rPr>
                <w:sz w:val="18"/>
                <w:szCs w:val="18"/>
                <w:lang w:val="en-US" w:eastAsia="ro-MD"/>
              </w:rPr>
              <w:t>bază</w:t>
            </w:r>
            <w:proofErr w:type="spellEnd"/>
            <w:r w:rsidRPr="00C4000F">
              <w:rPr>
                <w:sz w:val="18"/>
                <w:szCs w:val="18"/>
                <w:lang w:val="en-US" w:eastAsia="ro-MD"/>
              </w:rPr>
              <w:t xml:space="preserve">, </w:t>
            </w:r>
            <w:proofErr w:type="spellStart"/>
            <w:r w:rsidRPr="00C4000F">
              <w:rPr>
                <w:sz w:val="18"/>
                <w:szCs w:val="18"/>
                <w:lang w:val="en-US" w:eastAsia="ro-MD"/>
              </w:rPr>
              <w:t>în</w:t>
            </w:r>
            <w:proofErr w:type="spellEnd"/>
            <w:r w:rsidRPr="00C4000F">
              <w:rPr>
                <w:sz w:val="18"/>
                <w:szCs w:val="18"/>
                <w:lang w:val="en-US" w:eastAsia="ro-MD"/>
              </w:rPr>
              <w:t xml:space="preserve"> </w:t>
            </w:r>
            <w:proofErr w:type="spellStart"/>
            <w:r w:rsidRPr="00C4000F">
              <w:rPr>
                <w:sz w:val="18"/>
                <w:szCs w:val="18"/>
                <w:lang w:val="en-US" w:eastAsia="ro-MD"/>
              </w:rPr>
              <w:t>conformitate</w:t>
            </w:r>
            <w:proofErr w:type="spellEnd"/>
            <w:r w:rsidRPr="00C4000F">
              <w:rPr>
                <w:sz w:val="18"/>
                <w:szCs w:val="18"/>
                <w:lang w:val="en-US" w:eastAsia="ro-MD"/>
              </w:rPr>
              <w:t xml:space="preserve"> cu </w:t>
            </w:r>
            <w:proofErr w:type="spellStart"/>
            <w:r w:rsidRPr="00C4000F">
              <w:rPr>
                <w:sz w:val="18"/>
                <w:szCs w:val="18"/>
                <w:lang w:val="en-US" w:eastAsia="ro-MD"/>
              </w:rPr>
              <w:t>actele</w:t>
            </w:r>
            <w:proofErr w:type="spellEnd"/>
            <w:r w:rsidRPr="00C4000F">
              <w:rPr>
                <w:sz w:val="18"/>
                <w:szCs w:val="18"/>
                <w:lang w:val="en-US" w:eastAsia="ro-MD"/>
              </w:rPr>
              <w:t xml:space="preserve"> normative ale </w:t>
            </w:r>
            <w:proofErr w:type="spellStart"/>
            <w:r w:rsidRPr="00C4000F">
              <w:rPr>
                <w:sz w:val="18"/>
                <w:szCs w:val="18"/>
                <w:lang w:val="en-US" w:eastAsia="ro-MD"/>
              </w:rPr>
              <w:t>Băncii</w:t>
            </w:r>
            <w:proofErr w:type="spellEnd"/>
            <w:r w:rsidRPr="00C4000F">
              <w:rPr>
                <w:sz w:val="18"/>
                <w:szCs w:val="18"/>
                <w:lang w:val="en-US" w:eastAsia="ro-MD"/>
              </w:rPr>
              <w:t xml:space="preserve"> </w:t>
            </w:r>
            <w:proofErr w:type="spellStart"/>
            <w:r w:rsidRPr="00C4000F">
              <w:rPr>
                <w:sz w:val="18"/>
                <w:szCs w:val="18"/>
                <w:lang w:val="en-US" w:eastAsia="ro-MD"/>
              </w:rPr>
              <w:t>Naţionale</w:t>
            </w:r>
            <w:proofErr w:type="spellEnd"/>
            <w:r w:rsidRPr="00C4000F">
              <w:rPr>
                <w:sz w:val="18"/>
                <w:szCs w:val="18"/>
                <w:lang w:val="en-US" w:eastAsia="ro-MD"/>
              </w:rPr>
              <w:t xml:space="preserve"> a </w:t>
            </w:r>
            <w:proofErr w:type="spellStart"/>
            <w:r w:rsidRPr="00C4000F">
              <w:rPr>
                <w:sz w:val="18"/>
                <w:szCs w:val="18"/>
                <w:lang w:val="en-US" w:eastAsia="ro-MD"/>
              </w:rPr>
              <w:t>Moldovei</w:t>
            </w:r>
            <w:proofErr w:type="spellEnd"/>
            <w:r w:rsidRPr="00C4000F">
              <w:rPr>
                <w:sz w:val="18"/>
                <w:szCs w:val="18"/>
                <w:lang w:val="en-US" w:eastAsia="ro-MD"/>
              </w:rPr>
              <w:t xml:space="preserve"> </w:t>
            </w:r>
            <w:proofErr w:type="spellStart"/>
            <w:r w:rsidRPr="00C4000F">
              <w:rPr>
                <w:sz w:val="18"/>
                <w:szCs w:val="18"/>
                <w:lang w:val="en-US" w:eastAsia="ro-MD"/>
              </w:rPr>
              <w:t>aferente</w:t>
            </w:r>
            <w:proofErr w:type="spellEnd"/>
            <w:r w:rsidRPr="00C4000F">
              <w:rPr>
                <w:sz w:val="18"/>
                <w:szCs w:val="18"/>
                <w:lang w:val="en-US" w:eastAsia="ro-MD"/>
              </w:rPr>
              <w:t xml:space="preserve"> </w:t>
            </w:r>
            <w:proofErr w:type="spellStart"/>
            <w:r w:rsidRPr="00C4000F">
              <w:rPr>
                <w:sz w:val="18"/>
                <w:szCs w:val="18"/>
                <w:lang w:val="en-US" w:eastAsia="ro-MD"/>
              </w:rPr>
              <w:t>fondurilor</w:t>
            </w:r>
            <w:proofErr w:type="spellEnd"/>
            <w:r w:rsidRPr="00C4000F">
              <w:rPr>
                <w:sz w:val="18"/>
                <w:szCs w:val="18"/>
                <w:lang w:val="en-US" w:eastAsia="ro-MD"/>
              </w:rPr>
              <w:t xml:space="preserve"> </w:t>
            </w:r>
            <w:proofErr w:type="spellStart"/>
            <w:r w:rsidRPr="00C4000F">
              <w:rPr>
                <w:sz w:val="18"/>
                <w:szCs w:val="18"/>
                <w:lang w:val="en-US" w:eastAsia="ro-MD"/>
              </w:rPr>
              <w:t>proprii</w:t>
            </w:r>
            <w:proofErr w:type="spellEnd"/>
            <w:r w:rsidRPr="00C4000F">
              <w:rPr>
                <w:sz w:val="18"/>
                <w:szCs w:val="18"/>
                <w:lang w:val="en-US" w:eastAsia="ro-MD"/>
              </w:rPr>
              <w:t xml:space="preserve"> ale </w:t>
            </w:r>
            <w:proofErr w:type="spellStart"/>
            <w:r w:rsidRPr="00C4000F">
              <w:rPr>
                <w:sz w:val="18"/>
                <w:szCs w:val="18"/>
                <w:lang w:val="en-US" w:eastAsia="ro-MD"/>
              </w:rPr>
              <w:t>băncilor</w:t>
            </w:r>
            <w:proofErr w:type="spellEnd"/>
            <w:r w:rsidRPr="00C4000F">
              <w:rPr>
                <w:sz w:val="18"/>
                <w:szCs w:val="18"/>
                <w:lang w:val="en-US" w:eastAsia="ro-MD"/>
              </w:rPr>
              <w:t xml:space="preserve"> </w:t>
            </w:r>
            <w:proofErr w:type="spellStart"/>
            <w:r w:rsidRPr="00C4000F">
              <w:rPr>
                <w:sz w:val="18"/>
                <w:szCs w:val="18"/>
                <w:lang w:val="en-US" w:eastAsia="ro-MD"/>
              </w:rPr>
              <w:t>şi</w:t>
            </w:r>
            <w:proofErr w:type="spellEnd"/>
            <w:r w:rsidRPr="00C4000F">
              <w:rPr>
                <w:sz w:val="18"/>
                <w:szCs w:val="18"/>
                <w:lang w:val="en-US" w:eastAsia="ro-MD"/>
              </w:rPr>
              <w:t xml:space="preserve"> </w:t>
            </w:r>
            <w:proofErr w:type="spellStart"/>
            <w:r w:rsidRPr="00C4000F">
              <w:rPr>
                <w:sz w:val="18"/>
                <w:szCs w:val="18"/>
                <w:lang w:val="en-US" w:eastAsia="ro-MD"/>
              </w:rPr>
              <w:t>cerinţelor</w:t>
            </w:r>
            <w:proofErr w:type="spellEnd"/>
            <w:r w:rsidRPr="00C4000F">
              <w:rPr>
                <w:sz w:val="18"/>
                <w:szCs w:val="18"/>
                <w:lang w:val="en-US" w:eastAsia="ro-MD"/>
              </w:rPr>
              <w:t xml:space="preserve"> de capital.</w:t>
            </w:r>
          </w:p>
          <w:p w14:paraId="2DCFD819" w14:textId="77777777" w:rsidR="00BE313F" w:rsidRDefault="00BE313F" w:rsidP="00C0636D">
            <w:pPr>
              <w:tabs>
                <w:tab w:val="left" w:pos="317"/>
              </w:tabs>
              <w:ind w:left="-43"/>
              <w:rPr>
                <w:sz w:val="18"/>
                <w:szCs w:val="18"/>
                <w:lang w:val="en-US" w:eastAsia="ro-MD"/>
              </w:rPr>
            </w:pPr>
          </w:p>
          <w:p w14:paraId="4BAD2223" w14:textId="48F7D1CF" w:rsidR="00BE313F" w:rsidRPr="00C4000F" w:rsidRDefault="00BE313F" w:rsidP="00C0636D">
            <w:pPr>
              <w:tabs>
                <w:tab w:val="left" w:pos="317"/>
              </w:tabs>
              <w:ind w:left="-43"/>
              <w:rPr>
                <w:color w:val="000000"/>
                <w:sz w:val="18"/>
                <w:szCs w:val="18"/>
                <w:lang w:val="ro-MD"/>
              </w:rPr>
            </w:pPr>
            <w:r>
              <w:rPr>
                <w:b/>
                <w:bCs/>
                <w:i/>
                <w:iCs/>
                <w:sz w:val="20"/>
                <w:szCs w:val="20"/>
                <w:lang w:val="ro-RO"/>
              </w:rPr>
              <w:t xml:space="preserve">Prevedere existentă - </w:t>
            </w:r>
            <w:r>
              <w:rPr>
                <w:i/>
                <w:iCs/>
                <w:sz w:val="20"/>
                <w:szCs w:val="20"/>
                <w:lang w:val="ro-RO"/>
              </w:rPr>
              <w:t>Regulamentul nr.115/2018</w:t>
            </w:r>
          </w:p>
        </w:tc>
        <w:tc>
          <w:tcPr>
            <w:tcW w:w="1229" w:type="dxa"/>
          </w:tcPr>
          <w:p w14:paraId="4C037780" w14:textId="681BF091" w:rsidR="009E142A" w:rsidRPr="003F5B3C" w:rsidRDefault="00BB1BF4" w:rsidP="00B93C1C">
            <w:pPr>
              <w:jc w:val="both"/>
              <w:rPr>
                <w:color w:val="000000"/>
                <w:sz w:val="18"/>
                <w:szCs w:val="18"/>
                <w:lang w:val="ro-MD"/>
              </w:rPr>
            </w:pPr>
            <w:r>
              <w:rPr>
                <w:color w:val="000000"/>
                <w:sz w:val="18"/>
                <w:szCs w:val="18"/>
                <w:lang w:val="ro-MD"/>
              </w:rPr>
              <w:t>Compatibil.</w:t>
            </w:r>
          </w:p>
        </w:tc>
        <w:tc>
          <w:tcPr>
            <w:tcW w:w="5292" w:type="dxa"/>
            <w:tcBorders>
              <w:top w:val="single" w:sz="4" w:space="0" w:color="auto"/>
              <w:bottom w:val="single" w:sz="4" w:space="0" w:color="auto"/>
            </w:tcBorders>
          </w:tcPr>
          <w:p w14:paraId="3C0C3AB9" w14:textId="77777777" w:rsidR="009E142A" w:rsidRPr="003F5B3C" w:rsidRDefault="009E142A" w:rsidP="00B93C1C">
            <w:pPr>
              <w:jc w:val="both"/>
              <w:rPr>
                <w:color w:val="000000"/>
                <w:sz w:val="18"/>
                <w:szCs w:val="18"/>
                <w:lang w:val="ro-MD"/>
              </w:rPr>
            </w:pPr>
          </w:p>
        </w:tc>
      </w:tr>
      <w:tr w:rsidR="00632557" w:rsidRPr="00775E84" w14:paraId="45122F70" w14:textId="77777777" w:rsidTr="003F5B3C">
        <w:trPr>
          <w:trHeight w:val="918"/>
        </w:trPr>
        <w:tc>
          <w:tcPr>
            <w:tcW w:w="4253" w:type="dxa"/>
          </w:tcPr>
          <w:p w14:paraId="73156011" w14:textId="6B5FC409" w:rsidR="00067C06" w:rsidRPr="009E142A" w:rsidRDefault="00067C06" w:rsidP="00067C06">
            <w:pPr>
              <w:rPr>
                <w:b/>
                <w:bCs/>
                <w:sz w:val="18"/>
                <w:szCs w:val="18"/>
                <w:lang w:val="ro-MD" w:eastAsia="ro-MD"/>
              </w:rPr>
            </w:pPr>
            <w:r w:rsidRPr="009E142A">
              <w:rPr>
                <w:i/>
                <w:iCs/>
                <w:sz w:val="18"/>
                <w:szCs w:val="18"/>
                <w:lang w:val="ro-MD" w:eastAsia="ro-MD"/>
              </w:rPr>
              <w:t>Articolul 380</w:t>
            </w:r>
            <w:r w:rsidRPr="009E142A">
              <w:rPr>
                <w:sz w:val="18"/>
                <w:szCs w:val="18"/>
                <w:lang w:val="ro-MD" w:eastAsia="ro-MD"/>
              </w:rPr>
              <w:t xml:space="preserve"> </w:t>
            </w:r>
            <w:r w:rsidRPr="009E142A">
              <w:rPr>
                <w:b/>
                <w:bCs/>
                <w:sz w:val="18"/>
                <w:szCs w:val="18"/>
                <w:lang w:val="ro-MD" w:eastAsia="ro-MD"/>
              </w:rPr>
              <w:t>Derogare</w:t>
            </w:r>
          </w:p>
          <w:p w14:paraId="161350F5" w14:textId="77777777" w:rsidR="00067C06" w:rsidRPr="009E142A" w:rsidRDefault="00067C06" w:rsidP="009E142A">
            <w:pPr>
              <w:rPr>
                <w:sz w:val="18"/>
                <w:szCs w:val="18"/>
                <w:lang w:val="ro-MD" w:eastAsia="ro-MD"/>
              </w:rPr>
            </w:pPr>
            <w:r w:rsidRPr="009E142A">
              <w:rPr>
                <w:sz w:val="18"/>
                <w:szCs w:val="18"/>
                <w:lang w:val="ro-MD" w:eastAsia="ro-MD"/>
              </w:rPr>
              <w:t xml:space="preserve">În cazul apariției unei disfuncționalități generale a unui sistem de decontare, a unui sistem de compensare sau a unei CPC, autoritățile competente pot excepta instituțiile de la respectarea cerințelor de fonduri proprii calculate conform articolelor 378 și 379, până în momentul în care se remediază situația. În acest caz, incapacitatea unei </w:t>
            </w:r>
            <w:proofErr w:type="spellStart"/>
            <w:r w:rsidRPr="009E142A">
              <w:rPr>
                <w:sz w:val="18"/>
                <w:szCs w:val="18"/>
                <w:lang w:val="ro-MD" w:eastAsia="ro-MD"/>
              </w:rPr>
              <w:t>contrapărți</w:t>
            </w:r>
            <w:proofErr w:type="spellEnd"/>
            <w:r w:rsidRPr="009E142A">
              <w:rPr>
                <w:sz w:val="18"/>
                <w:szCs w:val="18"/>
                <w:lang w:val="ro-MD" w:eastAsia="ro-MD"/>
              </w:rPr>
              <w:t xml:space="preserve"> de a deconta o tranzacție nu este considerată nerambursare pentru scopurile riscului de credit.</w:t>
            </w:r>
          </w:p>
          <w:p w14:paraId="40101CE4" w14:textId="4D5C522E" w:rsidR="00632557" w:rsidRPr="00067C06" w:rsidRDefault="00632557" w:rsidP="00067C06">
            <w:pPr>
              <w:rPr>
                <w:sz w:val="18"/>
                <w:szCs w:val="18"/>
                <w:lang w:val="ro-MD"/>
              </w:rPr>
            </w:pPr>
          </w:p>
        </w:tc>
        <w:tc>
          <w:tcPr>
            <w:tcW w:w="3685" w:type="dxa"/>
            <w:shd w:val="clear" w:color="auto" w:fill="auto"/>
          </w:tcPr>
          <w:p w14:paraId="13B563A2" w14:textId="77777777" w:rsidR="00BE313F" w:rsidRDefault="00BE313F" w:rsidP="00BE313F">
            <w:pPr>
              <w:jc w:val="both"/>
              <w:rPr>
                <w:sz w:val="18"/>
                <w:szCs w:val="18"/>
                <w:lang w:val="en-US" w:eastAsia="ro-MD"/>
              </w:rPr>
            </w:pPr>
            <w:r w:rsidRPr="00BE313F">
              <w:rPr>
                <w:b/>
                <w:bCs/>
                <w:sz w:val="18"/>
                <w:szCs w:val="18"/>
                <w:lang w:val="en-US" w:eastAsia="ro-MD"/>
              </w:rPr>
              <w:t>4.</w:t>
            </w:r>
            <w:r w:rsidRPr="00BE313F">
              <w:rPr>
                <w:sz w:val="18"/>
                <w:szCs w:val="18"/>
                <w:lang w:val="en-US" w:eastAsia="ro-MD"/>
              </w:rPr>
              <w:t xml:space="preserve"> </w:t>
            </w:r>
            <w:proofErr w:type="spellStart"/>
            <w:r w:rsidRPr="00BE313F">
              <w:rPr>
                <w:sz w:val="18"/>
                <w:szCs w:val="18"/>
                <w:lang w:val="en-US" w:eastAsia="ro-MD"/>
              </w:rPr>
              <w:t>În</w:t>
            </w:r>
            <w:proofErr w:type="spellEnd"/>
            <w:r w:rsidRPr="00BE313F">
              <w:rPr>
                <w:sz w:val="18"/>
                <w:szCs w:val="18"/>
                <w:lang w:val="en-US" w:eastAsia="ro-MD"/>
              </w:rPr>
              <w:t xml:space="preserve"> </w:t>
            </w:r>
            <w:proofErr w:type="spellStart"/>
            <w:r w:rsidRPr="00BE313F">
              <w:rPr>
                <w:sz w:val="18"/>
                <w:szCs w:val="18"/>
                <w:lang w:val="en-US" w:eastAsia="ro-MD"/>
              </w:rPr>
              <w:t>cazul</w:t>
            </w:r>
            <w:proofErr w:type="spellEnd"/>
            <w:r w:rsidRPr="00BE313F">
              <w:rPr>
                <w:sz w:val="18"/>
                <w:szCs w:val="18"/>
                <w:lang w:val="en-US" w:eastAsia="ro-MD"/>
              </w:rPr>
              <w:t xml:space="preserve"> </w:t>
            </w:r>
            <w:proofErr w:type="spellStart"/>
            <w:r w:rsidRPr="00BE313F">
              <w:rPr>
                <w:sz w:val="18"/>
                <w:szCs w:val="18"/>
                <w:lang w:val="en-US" w:eastAsia="ro-MD"/>
              </w:rPr>
              <w:t>apariţiei</w:t>
            </w:r>
            <w:proofErr w:type="spellEnd"/>
            <w:r w:rsidRPr="00BE313F">
              <w:rPr>
                <w:sz w:val="18"/>
                <w:szCs w:val="18"/>
                <w:lang w:val="en-US" w:eastAsia="ro-MD"/>
              </w:rPr>
              <w:t xml:space="preserve"> </w:t>
            </w:r>
            <w:proofErr w:type="spellStart"/>
            <w:r w:rsidRPr="00BE313F">
              <w:rPr>
                <w:sz w:val="18"/>
                <w:szCs w:val="18"/>
                <w:lang w:val="en-US" w:eastAsia="ro-MD"/>
              </w:rPr>
              <w:t>unei</w:t>
            </w:r>
            <w:proofErr w:type="spellEnd"/>
            <w:r w:rsidRPr="00BE313F">
              <w:rPr>
                <w:sz w:val="18"/>
                <w:szCs w:val="18"/>
                <w:lang w:val="en-US" w:eastAsia="ro-MD"/>
              </w:rPr>
              <w:t xml:space="preserve"> </w:t>
            </w:r>
            <w:proofErr w:type="spellStart"/>
            <w:r w:rsidRPr="00BE313F">
              <w:rPr>
                <w:sz w:val="18"/>
                <w:szCs w:val="18"/>
                <w:lang w:val="en-US" w:eastAsia="ro-MD"/>
              </w:rPr>
              <w:t>disfuncţionalităţi</w:t>
            </w:r>
            <w:proofErr w:type="spellEnd"/>
            <w:r w:rsidRPr="00BE313F">
              <w:rPr>
                <w:sz w:val="18"/>
                <w:szCs w:val="18"/>
                <w:lang w:val="en-US" w:eastAsia="ro-MD"/>
              </w:rPr>
              <w:t xml:space="preserve"> generale a </w:t>
            </w:r>
            <w:proofErr w:type="spellStart"/>
            <w:r w:rsidRPr="00BE313F">
              <w:rPr>
                <w:sz w:val="18"/>
                <w:szCs w:val="18"/>
                <w:lang w:val="en-US" w:eastAsia="ro-MD"/>
              </w:rPr>
              <w:t>unui</w:t>
            </w:r>
            <w:proofErr w:type="spellEnd"/>
            <w:r w:rsidRPr="00BE313F">
              <w:rPr>
                <w:sz w:val="18"/>
                <w:szCs w:val="18"/>
                <w:lang w:val="en-US" w:eastAsia="ro-MD"/>
              </w:rPr>
              <w:t xml:space="preserve"> </w:t>
            </w:r>
            <w:proofErr w:type="spellStart"/>
            <w:r w:rsidRPr="00BE313F">
              <w:rPr>
                <w:sz w:val="18"/>
                <w:szCs w:val="18"/>
                <w:lang w:val="en-US" w:eastAsia="ro-MD"/>
              </w:rPr>
              <w:t>sistem</w:t>
            </w:r>
            <w:proofErr w:type="spellEnd"/>
            <w:r w:rsidRPr="00BE313F">
              <w:rPr>
                <w:sz w:val="18"/>
                <w:szCs w:val="18"/>
                <w:lang w:val="en-US" w:eastAsia="ro-MD"/>
              </w:rPr>
              <w:t xml:space="preserve"> de </w:t>
            </w:r>
            <w:proofErr w:type="spellStart"/>
            <w:r w:rsidRPr="00BE313F">
              <w:rPr>
                <w:sz w:val="18"/>
                <w:szCs w:val="18"/>
                <w:lang w:val="en-US" w:eastAsia="ro-MD"/>
              </w:rPr>
              <w:t>decontare</w:t>
            </w:r>
            <w:proofErr w:type="spellEnd"/>
            <w:r w:rsidRPr="00BE313F">
              <w:rPr>
                <w:sz w:val="18"/>
                <w:szCs w:val="18"/>
                <w:lang w:val="en-US" w:eastAsia="ro-MD"/>
              </w:rPr>
              <w:t xml:space="preserve">, a </w:t>
            </w:r>
            <w:proofErr w:type="spellStart"/>
            <w:r w:rsidRPr="00BE313F">
              <w:rPr>
                <w:sz w:val="18"/>
                <w:szCs w:val="18"/>
                <w:lang w:val="en-US" w:eastAsia="ro-MD"/>
              </w:rPr>
              <w:t>unui</w:t>
            </w:r>
            <w:proofErr w:type="spellEnd"/>
            <w:r w:rsidRPr="00BE313F">
              <w:rPr>
                <w:sz w:val="18"/>
                <w:szCs w:val="18"/>
                <w:lang w:val="en-US" w:eastAsia="ro-MD"/>
              </w:rPr>
              <w:t xml:space="preserve"> </w:t>
            </w:r>
            <w:proofErr w:type="spellStart"/>
            <w:r w:rsidRPr="00BE313F">
              <w:rPr>
                <w:sz w:val="18"/>
                <w:szCs w:val="18"/>
                <w:lang w:val="en-US" w:eastAsia="ro-MD"/>
              </w:rPr>
              <w:t>sistem</w:t>
            </w:r>
            <w:proofErr w:type="spellEnd"/>
            <w:r w:rsidRPr="00BE313F">
              <w:rPr>
                <w:sz w:val="18"/>
                <w:szCs w:val="18"/>
                <w:lang w:val="en-US" w:eastAsia="ro-MD"/>
              </w:rPr>
              <w:t xml:space="preserve"> de </w:t>
            </w:r>
            <w:proofErr w:type="spellStart"/>
            <w:r w:rsidRPr="00BE313F">
              <w:rPr>
                <w:sz w:val="18"/>
                <w:szCs w:val="18"/>
                <w:lang w:val="en-US" w:eastAsia="ro-MD"/>
              </w:rPr>
              <w:t>compensare</w:t>
            </w:r>
            <w:proofErr w:type="spellEnd"/>
            <w:r w:rsidRPr="00BE313F">
              <w:rPr>
                <w:sz w:val="18"/>
                <w:szCs w:val="18"/>
                <w:lang w:val="en-US" w:eastAsia="ro-MD"/>
              </w:rPr>
              <w:t xml:space="preserve"> </w:t>
            </w:r>
            <w:proofErr w:type="spellStart"/>
            <w:r w:rsidRPr="00BE313F">
              <w:rPr>
                <w:sz w:val="18"/>
                <w:szCs w:val="18"/>
                <w:lang w:val="en-US" w:eastAsia="ro-MD"/>
              </w:rPr>
              <w:t>sau</w:t>
            </w:r>
            <w:proofErr w:type="spellEnd"/>
            <w:r w:rsidRPr="00BE313F">
              <w:rPr>
                <w:sz w:val="18"/>
                <w:szCs w:val="18"/>
                <w:lang w:val="en-US" w:eastAsia="ro-MD"/>
              </w:rPr>
              <w:t xml:space="preserve"> a </w:t>
            </w:r>
            <w:proofErr w:type="spellStart"/>
            <w:r w:rsidRPr="00BE313F">
              <w:rPr>
                <w:sz w:val="18"/>
                <w:szCs w:val="18"/>
                <w:lang w:val="en-US" w:eastAsia="ro-MD"/>
              </w:rPr>
              <w:t>unei</w:t>
            </w:r>
            <w:proofErr w:type="spellEnd"/>
            <w:r w:rsidRPr="00BE313F">
              <w:rPr>
                <w:sz w:val="18"/>
                <w:szCs w:val="18"/>
                <w:lang w:val="en-US" w:eastAsia="ro-MD"/>
              </w:rPr>
              <w:t xml:space="preserve"> </w:t>
            </w:r>
            <w:proofErr w:type="spellStart"/>
            <w:r w:rsidRPr="00BE313F">
              <w:rPr>
                <w:sz w:val="18"/>
                <w:szCs w:val="18"/>
                <w:lang w:val="en-US" w:eastAsia="ro-MD"/>
              </w:rPr>
              <w:t>contrapărţi</w:t>
            </w:r>
            <w:proofErr w:type="spellEnd"/>
            <w:r w:rsidRPr="00BE313F">
              <w:rPr>
                <w:sz w:val="18"/>
                <w:szCs w:val="18"/>
                <w:lang w:val="en-US" w:eastAsia="ro-MD"/>
              </w:rPr>
              <w:t xml:space="preserve"> centrale, Banca </w:t>
            </w:r>
            <w:proofErr w:type="spellStart"/>
            <w:r w:rsidRPr="00BE313F">
              <w:rPr>
                <w:sz w:val="18"/>
                <w:szCs w:val="18"/>
                <w:lang w:val="en-US" w:eastAsia="ro-MD"/>
              </w:rPr>
              <w:t>Naţională</w:t>
            </w:r>
            <w:proofErr w:type="spellEnd"/>
            <w:r w:rsidRPr="00BE313F">
              <w:rPr>
                <w:sz w:val="18"/>
                <w:szCs w:val="18"/>
                <w:lang w:val="en-US" w:eastAsia="ro-MD"/>
              </w:rPr>
              <w:t xml:space="preserve"> a </w:t>
            </w:r>
            <w:proofErr w:type="spellStart"/>
            <w:r w:rsidRPr="00BE313F">
              <w:rPr>
                <w:sz w:val="18"/>
                <w:szCs w:val="18"/>
                <w:lang w:val="en-US" w:eastAsia="ro-MD"/>
              </w:rPr>
              <w:t>Moldovei</w:t>
            </w:r>
            <w:proofErr w:type="spellEnd"/>
            <w:r w:rsidRPr="00BE313F">
              <w:rPr>
                <w:sz w:val="18"/>
                <w:szCs w:val="18"/>
                <w:lang w:val="en-US" w:eastAsia="ro-MD"/>
              </w:rPr>
              <w:t xml:space="preserve"> </w:t>
            </w:r>
            <w:proofErr w:type="spellStart"/>
            <w:r w:rsidRPr="00BE313F">
              <w:rPr>
                <w:sz w:val="18"/>
                <w:szCs w:val="18"/>
                <w:lang w:val="en-US" w:eastAsia="ro-MD"/>
              </w:rPr>
              <w:t>poate</w:t>
            </w:r>
            <w:proofErr w:type="spellEnd"/>
            <w:r w:rsidRPr="00BE313F">
              <w:rPr>
                <w:sz w:val="18"/>
                <w:szCs w:val="18"/>
                <w:lang w:val="en-US" w:eastAsia="ro-MD"/>
              </w:rPr>
              <w:t xml:space="preserve"> </w:t>
            </w:r>
            <w:proofErr w:type="spellStart"/>
            <w:r w:rsidRPr="00BE313F">
              <w:rPr>
                <w:sz w:val="18"/>
                <w:szCs w:val="18"/>
                <w:lang w:val="en-US" w:eastAsia="ro-MD"/>
              </w:rPr>
              <w:t>excepta</w:t>
            </w:r>
            <w:proofErr w:type="spellEnd"/>
            <w:r w:rsidRPr="00BE313F">
              <w:rPr>
                <w:sz w:val="18"/>
                <w:szCs w:val="18"/>
                <w:lang w:val="en-US" w:eastAsia="ro-MD"/>
              </w:rPr>
              <w:t xml:space="preserve"> </w:t>
            </w:r>
            <w:proofErr w:type="spellStart"/>
            <w:r w:rsidRPr="00BE313F">
              <w:rPr>
                <w:sz w:val="18"/>
                <w:szCs w:val="18"/>
                <w:lang w:val="en-US" w:eastAsia="ro-MD"/>
              </w:rPr>
              <w:t>băncile</w:t>
            </w:r>
            <w:proofErr w:type="spellEnd"/>
            <w:r w:rsidRPr="00BE313F">
              <w:rPr>
                <w:sz w:val="18"/>
                <w:szCs w:val="18"/>
                <w:lang w:val="en-US" w:eastAsia="ro-MD"/>
              </w:rPr>
              <w:t xml:space="preserve"> de la </w:t>
            </w:r>
            <w:proofErr w:type="spellStart"/>
            <w:r w:rsidRPr="00BE313F">
              <w:rPr>
                <w:sz w:val="18"/>
                <w:szCs w:val="18"/>
                <w:lang w:val="en-US" w:eastAsia="ro-MD"/>
              </w:rPr>
              <w:t>respectarea</w:t>
            </w:r>
            <w:proofErr w:type="spellEnd"/>
            <w:r w:rsidRPr="00BE313F">
              <w:rPr>
                <w:sz w:val="18"/>
                <w:szCs w:val="18"/>
                <w:lang w:val="en-US" w:eastAsia="ro-MD"/>
              </w:rPr>
              <w:t xml:space="preserve"> </w:t>
            </w:r>
            <w:proofErr w:type="spellStart"/>
            <w:r w:rsidRPr="00BE313F">
              <w:rPr>
                <w:sz w:val="18"/>
                <w:szCs w:val="18"/>
                <w:lang w:val="en-US" w:eastAsia="ro-MD"/>
              </w:rPr>
              <w:t>cerinţelor</w:t>
            </w:r>
            <w:proofErr w:type="spellEnd"/>
            <w:r w:rsidRPr="00BE313F">
              <w:rPr>
                <w:sz w:val="18"/>
                <w:szCs w:val="18"/>
                <w:lang w:val="en-US" w:eastAsia="ro-MD"/>
              </w:rPr>
              <w:t xml:space="preserve"> de </w:t>
            </w:r>
            <w:proofErr w:type="spellStart"/>
            <w:r w:rsidRPr="00BE313F">
              <w:rPr>
                <w:sz w:val="18"/>
                <w:szCs w:val="18"/>
                <w:lang w:val="en-US" w:eastAsia="ro-MD"/>
              </w:rPr>
              <w:t>fonduri</w:t>
            </w:r>
            <w:proofErr w:type="spellEnd"/>
            <w:r w:rsidRPr="00BE313F">
              <w:rPr>
                <w:sz w:val="18"/>
                <w:szCs w:val="18"/>
                <w:lang w:val="en-US" w:eastAsia="ro-MD"/>
              </w:rPr>
              <w:t xml:space="preserve"> </w:t>
            </w:r>
            <w:proofErr w:type="spellStart"/>
            <w:r w:rsidRPr="00BE313F">
              <w:rPr>
                <w:sz w:val="18"/>
                <w:szCs w:val="18"/>
                <w:lang w:val="en-US" w:eastAsia="ro-MD"/>
              </w:rPr>
              <w:t>proprii</w:t>
            </w:r>
            <w:proofErr w:type="spellEnd"/>
            <w:r w:rsidRPr="00BE313F">
              <w:rPr>
                <w:sz w:val="18"/>
                <w:szCs w:val="18"/>
                <w:lang w:val="en-US" w:eastAsia="ro-MD"/>
              </w:rPr>
              <w:t xml:space="preserve"> calculate conform </w:t>
            </w:r>
            <w:proofErr w:type="spellStart"/>
            <w:r w:rsidRPr="00BE313F">
              <w:rPr>
                <w:sz w:val="18"/>
                <w:szCs w:val="18"/>
                <w:lang w:val="en-US" w:eastAsia="ro-MD"/>
              </w:rPr>
              <w:t>Capitolelor</w:t>
            </w:r>
            <w:proofErr w:type="spellEnd"/>
            <w:r w:rsidRPr="00BE313F">
              <w:rPr>
                <w:sz w:val="18"/>
                <w:szCs w:val="18"/>
                <w:lang w:val="en-US" w:eastAsia="ro-MD"/>
              </w:rPr>
              <w:t xml:space="preserve"> II </w:t>
            </w:r>
            <w:proofErr w:type="spellStart"/>
            <w:r w:rsidRPr="00BE313F">
              <w:rPr>
                <w:sz w:val="18"/>
                <w:szCs w:val="18"/>
                <w:lang w:val="en-US" w:eastAsia="ro-MD"/>
              </w:rPr>
              <w:t>şi</w:t>
            </w:r>
            <w:proofErr w:type="spellEnd"/>
            <w:r w:rsidRPr="00BE313F">
              <w:rPr>
                <w:sz w:val="18"/>
                <w:szCs w:val="18"/>
                <w:lang w:val="en-US" w:eastAsia="ro-MD"/>
              </w:rPr>
              <w:t xml:space="preserve"> III din </w:t>
            </w:r>
            <w:proofErr w:type="spellStart"/>
            <w:r w:rsidRPr="00BE313F">
              <w:rPr>
                <w:sz w:val="18"/>
                <w:szCs w:val="18"/>
                <w:lang w:val="en-US" w:eastAsia="ro-MD"/>
              </w:rPr>
              <w:t>prezentul</w:t>
            </w:r>
            <w:proofErr w:type="spellEnd"/>
            <w:r w:rsidRPr="00BE313F">
              <w:rPr>
                <w:sz w:val="18"/>
                <w:szCs w:val="18"/>
                <w:lang w:val="en-US" w:eastAsia="ro-MD"/>
              </w:rPr>
              <w:t xml:space="preserve"> </w:t>
            </w:r>
            <w:proofErr w:type="spellStart"/>
            <w:r w:rsidRPr="00BE313F">
              <w:rPr>
                <w:sz w:val="18"/>
                <w:szCs w:val="18"/>
                <w:lang w:val="en-US" w:eastAsia="ro-MD"/>
              </w:rPr>
              <w:t>Regulament</w:t>
            </w:r>
            <w:proofErr w:type="spellEnd"/>
            <w:r w:rsidRPr="00BE313F">
              <w:rPr>
                <w:sz w:val="18"/>
                <w:szCs w:val="18"/>
                <w:lang w:val="en-US" w:eastAsia="ro-MD"/>
              </w:rPr>
              <w:t xml:space="preserve">, </w:t>
            </w:r>
            <w:proofErr w:type="spellStart"/>
            <w:r w:rsidRPr="00BE313F">
              <w:rPr>
                <w:sz w:val="18"/>
                <w:szCs w:val="18"/>
                <w:lang w:val="en-US" w:eastAsia="ro-MD"/>
              </w:rPr>
              <w:t>până</w:t>
            </w:r>
            <w:proofErr w:type="spellEnd"/>
            <w:r w:rsidRPr="00BE313F">
              <w:rPr>
                <w:sz w:val="18"/>
                <w:szCs w:val="18"/>
                <w:lang w:val="en-US" w:eastAsia="ro-MD"/>
              </w:rPr>
              <w:t xml:space="preserve"> </w:t>
            </w:r>
            <w:proofErr w:type="spellStart"/>
            <w:r w:rsidRPr="00BE313F">
              <w:rPr>
                <w:sz w:val="18"/>
                <w:szCs w:val="18"/>
                <w:lang w:val="en-US" w:eastAsia="ro-MD"/>
              </w:rPr>
              <w:t>în</w:t>
            </w:r>
            <w:proofErr w:type="spellEnd"/>
            <w:r w:rsidRPr="00BE313F">
              <w:rPr>
                <w:sz w:val="18"/>
                <w:szCs w:val="18"/>
                <w:lang w:val="en-US" w:eastAsia="ro-MD"/>
              </w:rPr>
              <w:t xml:space="preserve"> </w:t>
            </w:r>
            <w:proofErr w:type="spellStart"/>
            <w:r w:rsidRPr="00BE313F">
              <w:rPr>
                <w:sz w:val="18"/>
                <w:szCs w:val="18"/>
                <w:lang w:val="en-US" w:eastAsia="ro-MD"/>
              </w:rPr>
              <w:t>momentul</w:t>
            </w:r>
            <w:proofErr w:type="spellEnd"/>
            <w:r w:rsidRPr="00BE313F">
              <w:rPr>
                <w:sz w:val="18"/>
                <w:szCs w:val="18"/>
                <w:lang w:val="en-US" w:eastAsia="ro-MD"/>
              </w:rPr>
              <w:t xml:space="preserve"> </w:t>
            </w:r>
            <w:proofErr w:type="spellStart"/>
            <w:r w:rsidRPr="00BE313F">
              <w:rPr>
                <w:sz w:val="18"/>
                <w:szCs w:val="18"/>
                <w:lang w:val="en-US" w:eastAsia="ro-MD"/>
              </w:rPr>
              <w:t>în</w:t>
            </w:r>
            <w:proofErr w:type="spellEnd"/>
            <w:r w:rsidRPr="00BE313F">
              <w:rPr>
                <w:sz w:val="18"/>
                <w:szCs w:val="18"/>
                <w:lang w:val="en-US" w:eastAsia="ro-MD"/>
              </w:rPr>
              <w:t xml:space="preserve"> care </w:t>
            </w:r>
            <w:proofErr w:type="spellStart"/>
            <w:r w:rsidRPr="00BE313F">
              <w:rPr>
                <w:sz w:val="18"/>
                <w:szCs w:val="18"/>
                <w:lang w:val="en-US" w:eastAsia="ro-MD"/>
              </w:rPr>
              <w:t>situaţia</w:t>
            </w:r>
            <w:proofErr w:type="spellEnd"/>
            <w:r w:rsidRPr="00BE313F">
              <w:rPr>
                <w:sz w:val="18"/>
                <w:szCs w:val="18"/>
                <w:lang w:val="en-US" w:eastAsia="ro-MD"/>
              </w:rPr>
              <w:t xml:space="preserve"> se </w:t>
            </w:r>
            <w:proofErr w:type="spellStart"/>
            <w:r w:rsidRPr="00BE313F">
              <w:rPr>
                <w:sz w:val="18"/>
                <w:szCs w:val="18"/>
                <w:lang w:val="en-US" w:eastAsia="ro-MD"/>
              </w:rPr>
              <w:t>remediază</w:t>
            </w:r>
            <w:proofErr w:type="spellEnd"/>
            <w:r w:rsidRPr="00BE313F">
              <w:rPr>
                <w:sz w:val="18"/>
                <w:szCs w:val="18"/>
                <w:lang w:val="en-US" w:eastAsia="ro-MD"/>
              </w:rPr>
              <w:t xml:space="preserve">. </w:t>
            </w:r>
            <w:proofErr w:type="spellStart"/>
            <w:r w:rsidRPr="00BE313F">
              <w:rPr>
                <w:sz w:val="18"/>
                <w:szCs w:val="18"/>
                <w:lang w:val="en-US" w:eastAsia="ro-MD"/>
              </w:rPr>
              <w:t>În</w:t>
            </w:r>
            <w:proofErr w:type="spellEnd"/>
            <w:r w:rsidRPr="00BE313F">
              <w:rPr>
                <w:sz w:val="18"/>
                <w:szCs w:val="18"/>
                <w:lang w:val="en-US" w:eastAsia="ro-MD"/>
              </w:rPr>
              <w:t xml:space="preserve"> </w:t>
            </w:r>
            <w:proofErr w:type="spellStart"/>
            <w:r w:rsidRPr="00BE313F">
              <w:rPr>
                <w:sz w:val="18"/>
                <w:szCs w:val="18"/>
                <w:lang w:val="en-US" w:eastAsia="ro-MD"/>
              </w:rPr>
              <w:t>acest</w:t>
            </w:r>
            <w:proofErr w:type="spellEnd"/>
            <w:r w:rsidRPr="00BE313F">
              <w:rPr>
                <w:sz w:val="18"/>
                <w:szCs w:val="18"/>
                <w:lang w:val="en-US" w:eastAsia="ro-MD"/>
              </w:rPr>
              <w:t xml:space="preserve"> </w:t>
            </w:r>
            <w:proofErr w:type="spellStart"/>
            <w:r w:rsidRPr="00BE313F">
              <w:rPr>
                <w:sz w:val="18"/>
                <w:szCs w:val="18"/>
                <w:lang w:val="en-US" w:eastAsia="ro-MD"/>
              </w:rPr>
              <w:t>caz</w:t>
            </w:r>
            <w:proofErr w:type="spellEnd"/>
            <w:r w:rsidRPr="00BE313F">
              <w:rPr>
                <w:sz w:val="18"/>
                <w:szCs w:val="18"/>
                <w:lang w:val="en-US" w:eastAsia="ro-MD"/>
              </w:rPr>
              <w:t xml:space="preserve">, </w:t>
            </w:r>
            <w:proofErr w:type="spellStart"/>
            <w:r w:rsidRPr="00BE313F">
              <w:rPr>
                <w:sz w:val="18"/>
                <w:szCs w:val="18"/>
                <w:lang w:val="en-US" w:eastAsia="ro-MD"/>
              </w:rPr>
              <w:t>incapacitatea</w:t>
            </w:r>
            <w:proofErr w:type="spellEnd"/>
            <w:r w:rsidRPr="00BE313F">
              <w:rPr>
                <w:sz w:val="18"/>
                <w:szCs w:val="18"/>
                <w:lang w:val="en-US" w:eastAsia="ro-MD"/>
              </w:rPr>
              <w:t xml:space="preserve"> </w:t>
            </w:r>
            <w:proofErr w:type="spellStart"/>
            <w:r w:rsidRPr="00BE313F">
              <w:rPr>
                <w:sz w:val="18"/>
                <w:szCs w:val="18"/>
                <w:lang w:val="en-US" w:eastAsia="ro-MD"/>
              </w:rPr>
              <w:t>unei</w:t>
            </w:r>
            <w:proofErr w:type="spellEnd"/>
            <w:r w:rsidRPr="00BE313F">
              <w:rPr>
                <w:sz w:val="18"/>
                <w:szCs w:val="18"/>
                <w:lang w:val="en-US" w:eastAsia="ro-MD"/>
              </w:rPr>
              <w:t xml:space="preserve"> </w:t>
            </w:r>
            <w:proofErr w:type="spellStart"/>
            <w:r w:rsidRPr="00BE313F">
              <w:rPr>
                <w:sz w:val="18"/>
                <w:szCs w:val="18"/>
                <w:lang w:val="en-US" w:eastAsia="ro-MD"/>
              </w:rPr>
              <w:t>contrapărţi</w:t>
            </w:r>
            <w:proofErr w:type="spellEnd"/>
            <w:r w:rsidRPr="00BE313F">
              <w:rPr>
                <w:sz w:val="18"/>
                <w:szCs w:val="18"/>
                <w:lang w:val="en-US" w:eastAsia="ro-MD"/>
              </w:rPr>
              <w:t xml:space="preserve"> de a </w:t>
            </w:r>
            <w:proofErr w:type="spellStart"/>
            <w:r w:rsidRPr="00BE313F">
              <w:rPr>
                <w:sz w:val="18"/>
                <w:szCs w:val="18"/>
                <w:lang w:val="en-US" w:eastAsia="ro-MD"/>
              </w:rPr>
              <w:t>deconta</w:t>
            </w:r>
            <w:proofErr w:type="spellEnd"/>
            <w:r w:rsidRPr="00BE313F">
              <w:rPr>
                <w:sz w:val="18"/>
                <w:szCs w:val="18"/>
                <w:lang w:val="en-US" w:eastAsia="ro-MD"/>
              </w:rPr>
              <w:t xml:space="preserve"> o </w:t>
            </w:r>
            <w:proofErr w:type="spellStart"/>
            <w:r w:rsidRPr="00BE313F">
              <w:rPr>
                <w:sz w:val="18"/>
                <w:szCs w:val="18"/>
                <w:lang w:val="en-US" w:eastAsia="ro-MD"/>
              </w:rPr>
              <w:t>tranzacţie</w:t>
            </w:r>
            <w:proofErr w:type="spellEnd"/>
            <w:r w:rsidRPr="00BE313F">
              <w:rPr>
                <w:sz w:val="18"/>
                <w:szCs w:val="18"/>
                <w:lang w:val="en-US" w:eastAsia="ro-MD"/>
              </w:rPr>
              <w:t xml:space="preserve"> nu </w:t>
            </w:r>
            <w:proofErr w:type="spellStart"/>
            <w:r w:rsidRPr="00BE313F">
              <w:rPr>
                <w:sz w:val="18"/>
                <w:szCs w:val="18"/>
                <w:lang w:val="en-US" w:eastAsia="ro-MD"/>
              </w:rPr>
              <w:t>trebuie</w:t>
            </w:r>
            <w:proofErr w:type="spellEnd"/>
            <w:r w:rsidRPr="00BE313F">
              <w:rPr>
                <w:sz w:val="18"/>
                <w:szCs w:val="18"/>
                <w:lang w:val="en-US" w:eastAsia="ro-MD"/>
              </w:rPr>
              <w:t xml:space="preserve"> </w:t>
            </w:r>
            <w:proofErr w:type="spellStart"/>
            <w:r w:rsidRPr="00BE313F">
              <w:rPr>
                <w:sz w:val="18"/>
                <w:szCs w:val="18"/>
                <w:lang w:val="en-US" w:eastAsia="ro-MD"/>
              </w:rPr>
              <w:t>să</w:t>
            </w:r>
            <w:proofErr w:type="spellEnd"/>
            <w:r w:rsidRPr="00BE313F">
              <w:rPr>
                <w:sz w:val="18"/>
                <w:szCs w:val="18"/>
                <w:lang w:val="en-US" w:eastAsia="ro-MD"/>
              </w:rPr>
              <w:t xml:space="preserve"> fie </w:t>
            </w:r>
            <w:proofErr w:type="spellStart"/>
            <w:r w:rsidRPr="00BE313F">
              <w:rPr>
                <w:sz w:val="18"/>
                <w:szCs w:val="18"/>
                <w:lang w:val="en-US" w:eastAsia="ro-MD"/>
              </w:rPr>
              <w:t>considerată</w:t>
            </w:r>
            <w:proofErr w:type="spellEnd"/>
            <w:r w:rsidRPr="00BE313F">
              <w:rPr>
                <w:sz w:val="18"/>
                <w:szCs w:val="18"/>
                <w:lang w:val="en-US" w:eastAsia="ro-MD"/>
              </w:rPr>
              <w:t xml:space="preserve"> ca stare </w:t>
            </w:r>
            <w:r w:rsidRPr="00BE313F">
              <w:rPr>
                <w:sz w:val="18"/>
                <w:szCs w:val="18"/>
                <w:lang w:val="en-US" w:eastAsia="ro-MD"/>
              </w:rPr>
              <w:lastRenderedPageBreak/>
              <w:t xml:space="preserve">de </w:t>
            </w:r>
            <w:proofErr w:type="spellStart"/>
            <w:r w:rsidRPr="00BE313F">
              <w:rPr>
                <w:sz w:val="18"/>
                <w:szCs w:val="18"/>
                <w:lang w:val="en-US" w:eastAsia="ro-MD"/>
              </w:rPr>
              <w:t>nerambursare</w:t>
            </w:r>
            <w:proofErr w:type="spellEnd"/>
            <w:r w:rsidRPr="00BE313F">
              <w:rPr>
                <w:sz w:val="18"/>
                <w:szCs w:val="18"/>
                <w:lang w:val="en-US" w:eastAsia="ro-MD"/>
              </w:rPr>
              <w:t xml:space="preserve"> (default) </w:t>
            </w:r>
            <w:proofErr w:type="spellStart"/>
            <w:r w:rsidRPr="00BE313F">
              <w:rPr>
                <w:sz w:val="18"/>
                <w:szCs w:val="18"/>
                <w:lang w:val="en-US" w:eastAsia="ro-MD"/>
              </w:rPr>
              <w:t>pentru</w:t>
            </w:r>
            <w:proofErr w:type="spellEnd"/>
            <w:r w:rsidRPr="00BE313F">
              <w:rPr>
                <w:sz w:val="18"/>
                <w:szCs w:val="18"/>
                <w:lang w:val="en-US" w:eastAsia="ro-MD"/>
              </w:rPr>
              <w:t xml:space="preserve"> </w:t>
            </w:r>
            <w:proofErr w:type="spellStart"/>
            <w:r w:rsidRPr="00BE313F">
              <w:rPr>
                <w:sz w:val="18"/>
                <w:szCs w:val="18"/>
                <w:lang w:val="en-US" w:eastAsia="ro-MD"/>
              </w:rPr>
              <w:t>scopurile</w:t>
            </w:r>
            <w:proofErr w:type="spellEnd"/>
            <w:r w:rsidRPr="00BE313F">
              <w:rPr>
                <w:sz w:val="18"/>
                <w:szCs w:val="18"/>
                <w:lang w:val="en-US" w:eastAsia="ro-MD"/>
              </w:rPr>
              <w:t xml:space="preserve"> </w:t>
            </w:r>
            <w:proofErr w:type="spellStart"/>
            <w:r w:rsidRPr="00BE313F">
              <w:rPr>
                <w:sz w:val="18"/>
                <w:szCs w:val="18"/>
                <w:lang w:val="en-US" w:eastAsia="ro-MD"/>
              </w:rPr>
              <w:t>riscului</w:t>
            </w:r>
            <w:proofErr w:type="spellEnd"/>
            <w:r w:rsidRPr="00BE313F">
              <w:rPr>
                <w:sz w:val="18"/>
                <w:szCs w:val="18"/>
                <w:lang w:val="en-US" w:eastAsia="ro-MD"/>
              </w:rPr>
              <w:t xml:space="preserve"> de credit.</w:t>
            </w:r>
          </w:p>
          <w:p w14:paraId="00CD2B8B" w14:textId="77777777" w:rsidR="00BE313F" w:rsidRPr="00BE313F" w:rsidRDefault="00BE313F" w:rsidP="00BE313F">
            <w:pPr>
              <w:jc w:val="both"/>
              <w:rPr>
                <w:sz w:val="18"/>
                <w:szCs w:val="18"/>
                <w:lang w:val="en-US" w:eastAsia="ro-MD"/>
              </w:rPr>
            </w:pPr>
          </w:p>
          <w:p w14:paraId="45312DE5" w14:textId="139A30A2" w:rsidR="00BE313F" w:rsidRPr="00BE313F" w:rsidRDefault="00BE313F" w:rsidP="00BE313F">
            <w:pPr>
              <w:rPr>
                <w:sz w:val="22"/>
                <w:szCs w:val="22"/>
                <w:lang w:val="ro-MD" w:eastAsia="en-US"/>
              </w:rPr>
            </w:pPr>
            <w:r>
              <w:rPr>
                <w:b/>
                <w:bCs/>
                <w:i/>
                <w:iCs/>
                <w:sz w:val="20"/>
                <w:szCs w:val="20"/>
                <w:lang w:val="ro-RO"/>
              </w:rPr>
              <w:t xml:space="preserve">Prevedere existentă - </w:t>
            </w:r>
            <w:r>
              <w:rPr>
                <w:i/>
                <w:iCs/>
                <w:sz w:val="20"/>
                <w:szCs w:val="20"/>
                <w:lang w:val="ro-RO"/>
              </w:rPr>
              <w:t>Regulamentul nr.115/2018</w:t>
            </w:r>
          </w:p>
        </w:tc>
        <w:tc>
          <w:tcPr>
            <w:tcW w:w="1229" w:type="dxa"/>
          </w:tcPr>
          <w:p w14:paraId="0ABA8695" w14:textId="2FDE2719" w:rsidR="00632557" w:rsidRPr="003F5B3C" w:rsidRDefault="00BE313F" w:rsidP="00B93C1C">
            <w:pPr>
              <w:jc w:val="both"/>
              <w:rPr>
                <w:color w:val="000000"/>
                <w:sz w:val="18"/>
                <w:szCs w:val="18"/>
                <w:lang w:val="ro-MD"/>
              </w:rPr>
            </w:pPr>
            <w:r>
              <w:rPr>
                <w:color w:val="000000"/>
                <w:sz w:val="18"/>
                <w:szCs w:val="18"/>
                <w:lang w:val="ro-MD"/>
              </w:rPr>
              <w:lastRenderedPageBreak/>
              <w:t>Compatibil</w:t>
            </w:r>
          </w:p>
        </w:tc>
        <w:tc>
          <w:tcPr>
            <w:tcW w:w="5292" w:type="dxa"/>
            <w:tcBorders>
              <w:top w:val="single" w:sz="4" w:space="0" w:color="auto"/>
              <w:bottom w:val="single" w:sz="4" w:space="0" w:color="auto"/>
            </w:tcBorders>
          </w:tcPr>
          <w:p w14:paraId="30C9B42F" w14:textId="355C1C25" w:rsidR="00632557" w:rsidRPr="003F5B3C" w:rsidRDefault="00632557" w:rsidP="00B93C1C">
            <w:pPr>
              <w:jc w:val="both"/>
              <w:rPr>
                <w:color w:val="000000"/>
                <w:sz w:val="18"/>
                <w:szCs w:val="18"/>
                <w:lang w:val="ro-MD"/>
              </w:rPr>
            </w:pPr>
          </w:p>
        </w:tc>
      </w:tr>
    </w:tbl>
    <w:p w14:paraId="34BD39BE" w14:textId="77777777" w:rsidR="00493520" w:rsidRPr="003F5B3C" w:rsidRDefault="00493520">
      <w:pPr>
        <w:rPr>
          <w:sz w:val="18"/>
          <w:szCs w:val="18"/>
          <w:lang w:val="ro-MD"/>
        </w:rPr>
      </w:pPr>
    </w:p>
    <w:sectPr w:rsidR="00493520" w:rsidRPr="003F5B3C" w:rsidSect="001C6D33">
      <w:headerReference w:type="even" r:id="rId12"/>
      <w:headerReference w:type="default" r:id="rId13"/>
      <w:footerReference w:type="even" r:id="rId14"/>
      <w:footerReference w:type="default" r:id="rId15"/>
      <w:pgSz w:w="16838" w:h="11906" w:orient="landscape" w:code="9"/>
      <w:pgMar w:top="902" w:right="1134"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7712" w14:textId="77777777" w:rsidR="00A55B48" w:rsidRDefault="00A55B48" w:rsidP="00525701">
      <w:r>
        <w:separator/>
      </w:r>
    </w:p>
  </w:endnote>
  <w:endnote w:type="continuationSeparator" w:id="0">
    <w:p w14:paraId="3C24D275" w14:textId="77777777" w:rsidR="00A55B48" w:rsidRDefault="00A55B48" w:rsidP="0052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ermianSansTypeface">
    <w:panose1 w:val="02000000000000000000"/>
    <w:charset w:val="CC"/>
    <w:family w:val="auto"/>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6A45" w14:textId="77777777" w:rsidR="00494263"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bookmarkStart w:id="6" w:name="TITUS1FooterEvenPages"/>
    <w:r>
      <w:rPr>
        <w:rStyle w:val="PageNumber"/>
        <w:rFonts w:ascii="PermianSansTypeface" w:hAnsi="PermianSansTypeface"/>
        <w:b/>
        <w:color w:val="000000"/>
        <w:sz w:val="16"/>
        <w:lang w:val="en-US"/>
      </w:rPr>
      <w:t xml:space="preserve"> </w:t>
    </w:r>
  </w:p>
  <w:p w14:paraId="127BC186" w14:textId="77777777" w:rsidR="00494263" w:rsidRDefault="00494263" w:rsidP="00525701">
    <w:pPr>
      <w:pStyle w:val="Footer"/>
      <w:framePr w:wrap="around" w:vAnchor="text" w:hAnchor="margin" w:xAlign="right" w:y="1"/>
      <w:rPr>
        <w:rStyle w:val="PageNumber"/>
        <w:rFonts w:ascii="PermianSansTypeface" w:hAnsi="PermianSansTypeface"/>
        <w:b/>
        <w:color w:val="000000"/>
        <w:sz w:val="16"/>
        <w:lang w:val="en-US"/>
      </w:rPr>
    </w:pPr>
    <w:r>
      <w:rPr>
        <w:rStyle w:val="PageNumber"/>
        <w:rFonts w:ascii="PermianSansTypeface" w:hAnsi="PermianSansTypeface"/>
        <w:b/>
        <w:color w:val="000000"/>
        <w:sz w:val="16"/>
        <w:lang w:val="en-US"/>
      </w:rPr>
      <w:t xml:space="preserve"> </w:t>
    </w:r>
  </w:p>
  <w:bookmarkEnd w:id="6"/>
  <w:p w14:paraId="30BBDDBD" w14:textId="77777777" w:rsidR="00494263" w:rsidRPr="00084C0C"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p>
  <w:p w14:paraId="6D270E1A" w14:textId="77777777" w:rsidR="00494263" w:rsidRDefault="00494263" w:rsidP="00525701">
    <w:pPr>
      <w:pStyle w:val="Footer"/>
      <w:ind w:right="360"/>
    </w:pPr>
  </w:p>
  <w:p w14:paraId="0E54F150" w14:textId="77777777" w:rsidR="00494263" w:rsidRDefault="00494263" w:rsidP="005F3A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015163"/>
      <w:docPartObj>
        <w:docPartGallery w:val="Page Numbers (Bottom of Page)"/>
        <w:docPartUnique/>
      </w:docPartObj>
    </w:sdtPr>
    <w:sdtEndPr>
      <w:rPr>
        <w:noProof/>
      </w:rPr>
    </w:sdtEndPr>
    <w:sdtContent>
      <w:p w14:paraId="75A66401" w14:textId="57865830" w:rsidR="001C6D33" w:rsidRDefault="001C6D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2B9BF7" w14:textId="77777777" w:rsidR="00494263" w:rsidRDefault="00494263" w:rsidP="005F3A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3A41" w14:textId="77777777" w:rsidR="00A55B48" w:rsidRDefault="00A55B48" w:rsidP="00525701">
      <w:r>
        <w:separator/>
      </w:r>
    </w:p>
  </w:footnote>
  <w:footnote w:type="continuationSeparator" w:id="0">
    <w:p w14:paraId="7379E57C" w14:textId="77777777" w:rsidR="00A55B48" w:rsidRDefault="00A55B48" w:rsidP="0052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09F6" w14:textId="77777777" w:rsidR="00494263" w:rsidRDefault="00494263" w:rsidP="00525701">
    <w:pPr>
      <w:pStyle w:val="Header"/>
      <w:jc w:val="right"/>
    </w:pPr>
    <w:bookmarkStart w:id="4" w:name="TITUS1HeaderEvenPages"/>
    <w:r>
      <w:t xml:space="preserve"> </w:t>
    </w:r>
  </w:p>
  <w:bookmarkEnd w:id="4"/>
  <w:p w14:paraId="2EA8E714" w14:textId="77777777" w:rsidR="00494263" w:rsidRDefault="00494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0E51" w14:textId="77777777" w:rsidR="00494263" w:rsidRDefault="00494263" w:rsidP="00525701">
    <w:pPr>
      <w:pStyle w:val="Header"/>
      <w:jc w:val="right"/>
    </w:pPr>
    <w:bookmarkStart w:id="5" w:name="TITUS1HeaderPrimary"/>
    <w:r>
      <w:t xml:space="preserve"> </w:t>
    </w:r>
  </w:p>
  <w:bookmarkEnd w:id="5"/>
  <w:p w14:paraId="7E223774" w14:textId="77777777" w:rsidR="00494263" w:rsidRDefault="00494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DC3"/>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25116AF"/>
    <w:multiLevelType w:val="hybridMultilevel"/>
    <w:tmpl w:val="E002427A"/>
    <w:lvl w:ilvl="0" w:tplc="0818000F">
      <w:start w:val="3"/>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4282E59"/>
    <w:multiLevelType w:val="hybridMultilevel"/>
    <w:tmpl w:val="047C6CCC"/>
    <w:lvl w:ilvl="0" w:tplc="0818000F">
      <w:start w:val="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5D90F33"/>
    <w:multiLevelType w:val="hybridMultilevel"/>
    <w:tmpl w:val="A25C190C"/>
    <w:lvl w:ilvl="0" w:tplc="4E5EE05E">
      <w:start w:val="59"/>
      <w:numFmt w:val="decimal"/>
      <w:lvlText w:val="%1."/>
      <w:lvlJc w:val="left"/>
      <w:pPr>
        <w:ind w:left="720" w:hanging="360"/>
      </w:pPr>
      <w:rPr>
        <w:rFonts w:hint="default"/>
        <w:b w:val="0"/>
        <w:color w:val="auto"/>
      </w:rPr>
    </w:lvl>
    <w:lvl w:ilvl="1" w:tplc="21F895A0">
      <w:start w:val="1"/>
      <w:numFmt w:val="decimal"/>
      <w:lvlText w:val="%2)"/>
      <w:lvlJc w:val="left"/>
      <w:pPr>
        <w:ind w:left="1440" w:hanging="360"/>
      </w:pPr>
      <w:rPr>
        <w:rFonts w:ascii="Times New Roman" w:eastAsia="Times New Roman" w:hAnsi="Times New Roman"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B01DF"/>
    <w:multiLevelType w:val="hybridMultilevel"/>
    <w:tmpl w:val="C4F43676"/>
    <w:lvl w:ilvl="0" w:tplc="C0481B90">
      <w:start w:val="1"/>
      <w:numFmt w:val="decimal"/>
      <w:lvlText w:val="%1."/>
      <w:lvlJc w:val="left"/>
      <w:pPr>
        <w:ind w:left="720" w:hanging="360"/>
      </w:pPr>
      <w:rPr>
        <w:rFonts w:ascii="PermianSerifTypeface" w:eastAsia="Arial Unicode MS" w:hAnsi="PermianSerifTypeface" w:hint="default"/>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A2FD2"/>
    <w:multiLevelType w:val="hybridMultilevel"/>
    <w:tmpl w:val="98961EE8"/>
    <w:lvl w:ilvl="0" w:tplc="ACD864E2">
      <w:start w:val="2"/>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15:restartNumberingAfterBreak="0">
    <w:nsid w:val="0DA645AE"/>
    <w:multiLevelType w:val="hybridMultilevel"/>
    <w:tmpl w:val="D80AA2D2"/>
    <w:lvl w:ilvl="0" w:tplc="FD625DB6">
      <w:start w:val="22"/>
      <w:numFmt w:val="decimal"/>
      <w:lvlText w:val="%1."/>
      <w:lvlJc w:val="left"/>
      <w:pPr>
        <w:ind w:left="720" w:hanging="360"/>
      </w:pPr>
      <w:rPr>
        <w:rFonts w:ascii="Times New Roman" w:hAnsi="Times New Roman" w:cs="Times New Roman" w:hint="default"/>
        <w:i w:val="0"/>
        <w:color w:val="auto"/>
        <w:sz w:val="18"/>
        <w:szCs w:val="18"/>
      </w:rPr>
    </w:lvl>
    <w:lvl w:ilvl="1" w:tplc="579C78DA">
      <w:start w:val="1"/>
      <w:numFmt w:val="decimal"/>
      <w:lvlText w:val="%2)"/>
      <w:lvlJc w:val="left"/>
      <w:pPr>
        <w:ind w:left="1440" w:hanging="360"/>
      </w:pPr>
      <w:rPr>
        <w:rFonts w:ascii="Times New Roman" w:eastAsia="Times New Roman" w:hAnsi="Times New Roman" w:cs="Times New Roman"/>
        <w:i w:val="0"/>
        <w:color w:val="auto"/>
      </w:rPr>
    </w:lvl>
    <w:lvl w:ilvl="2" w:tplc="D4EAC1A8">
      <w:start w:val="1"/>
      <w:numFmt w:val="lowerLetter"/>
      <w:lvlText w:val="%3)"/>
      <w:lvlJc w:val="right"/>
      <w:pPr>
        <w:ind w:left="2160" w:hanging="180"/>
      </w:pPr>
      <w:rPr>
        <w:rFonts w:ascii="Times New Roman" w:eastAsia="Times New Roman" w:hAnsi="Times New Roman" w:cs="Times New Roman"/>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B0EFB"/>
    <w:multiLevelType w:val="hybridMultilevel"/>
    <w:tmpl w:val="973EC0B0"/>
    <w:lvl w:ilvl="0" w:tplc="FEF0DD8A">
      <w:start w:val="1"/>
      <w:numFmt w:val="decimal"/>
      <w:lvlText w:val="%1."/>
      <w:lvlJc w:val="left"/>
      <w:pPr>
        <w:ind w:left="720" w:hanging="360"/>
      </w:pPr>
      <w:rPr>
        <w:rFonts w:eastAsia="Arial Unicode M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7CE7E92"/>
    <w:multiLevelType w:val="hybridMultilevel"/>
    <w:tmpl w:val="DC16BD1C"/>
    <w:lvl w:ilvl="0" w:tplc="4FD03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B6B3B"/>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A515455"/>
    <w:multiLevelType w:val="hybridMultilevel"/>
    <w:tmpl w:val="FF8E726C"/>
    <w:lvl w:ilvl="0" w:tplc="FCE47E40">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044A1"/>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A5D65"/>
    <w:multiLevelType w:val="hybridMultilevel"/>
    <w:tmpl w:val="877AE5F4"/>
    <w:lvl w:ilvl="0" w:tplc="FFFFFFFF">
      <w:start w:val="1"/>
      <w:numFmt w:val="decimal"/>
      <w:lvlText w:val="%1."/>
      <w:lvlJc w:val="left"/>
      <w:pPr>
        <w:ind w:left="720" w:hanging="360"/>
      </w:pPr>
      <w:rPr>
        <w:rFonts w:ascii="Times New Roman" w:hAnsi="Times New Roman" w:cs="Times New Roman" w:hint="default"/>
        <w:b w:val="0"/>
        <w:bCs/>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D32F71"/>
    <w:multiLevelType w:val="hybridMultilevel"/>
    <w:tmpl w:val="877AE5F4"/>
    <w:lvl w:ilvl="0" w:tplc="FFFFFFFF">
      <w:start w:val="1"/>
      <w:numFmt w:val="decimal"/>
      <w:lvlText w:val="%1."/>
      <w:lvlJc w:val="left"/>
      <w:pPr>
        <w:ind w:left="720" w:hanging="360"/>
      </w:pPr>
      <w:rPr>
        <w:rFonts w:ascii="Times New Roman" w:hAnsi="Times New Roman" w:cs="Times New Roman" w:hint="default"/>
        <w:b w:val="0"/>
        <w:bCs/>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3A0BC7"/>
    <w:multiLevelType w:val="hybridMultilevel"/>
    <w:tmpl w:val="D4E60A40"/>
    <w:lvl w:ilvl="0" w:tplc="9B4C4A6E">
      <w:start w:val="20"/>
      <w:numFmt w:val="decimal"/>
      <w:lvlText w:val="%1."/>
      <w:lvlJc w:val="left"/>
      <w:pPr>
        <w:ind w:left="1713" w:hanging="360"/>
      </w:pPr>
      <w:rPr>
        <w:rFonts w:hint="default"/>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37655A75"/>
    <w:multiLevelType w:val="hybridMultilevel"/>
    <w:tmpl w:val="9EBC1CB8"/>
    <w:lvl w:ilvl="0" w:tplc="BF5229A8">
      <w:start w:val="1"/>
      <w:numFmt w:val="decimal"/>
      <w:lvlText w:val="%1)"/>
      <w:lvlJc w:val="left"/>
      <w:pPr>
        <w:ind w:left="2007" w:hanging="360"/>
      </w:pPr>
      <w:rPr>
        <w:rFonts w:eastAsia="Times New Roman" w:hint="default"/>
        <w:i w:val="0"/>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 w15:restartNumberingAfterBreak="0">
    <w:nsid w:val="39D027B0"/>
    <w:multiLevelType w:val="hybridMultilevel"/>
    <w:tmpl w:val="C248C286"/>
    <w:lvl w:ilvl="0" w:tplc="0818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6E254C"/>
    <w:multiLevelType w:val="hybridMultilevel"/>
    <w:tmpl w:val="1D7C9C78"/>
    <w:lvl w:ilvl="0" w:tplc="0016987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52781"/>
    <w:multiLevelType w:val="hybridMultilevel"/>
    <w:tmpl w:val="C00287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1224F"/>
    <w:multiLevelType w:val="hybridMultilevel"/>
    <w:tmpl w:val="6082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47610"/>
    <w:multiLevelType w:val="hybridMultilevel"/>
    <w:tmpl w:val="3F56283C"/>
    <w:lvl w:ilvl="0" w:tplc="4DE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3950DB"/>
    <w:multiLevelType w:val="hybridMultilevel"/>
    <w:tmpl w:val="AC9A2A24"/>
    <w:lvl w:ilvl="0" w:tplc="0A98DD84">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56292CD8"/>
    <w:multiLevelType w:val="hybridMultilevel"/>
    <w:tmpl w:val="694AB5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F3493"/>
    <w:multiLevelType w:val="hybridMultilevel"/>
    <w:tmpl w:val="35C098D6"/>
    <w:lvl w:ilvl="0" w:tplc="6548E13C">
      <w:start w:val="1"/>
      <w:numFmt w:val="decimal"/>
      <w:lvlText w:val="%1."/>
      <w:lvlJc w:val="left"/>
      <w:pPr>
        <w:ind w:left="720" w:hanging="360"/>
      </w:pPr>
      <w:rPr>
        <w:i w:val="0"/>
        <w:color w:val="auto"/>
        <w:sz w:val="24"/>
        <w:szCs w:val="24"/>
      </w:rPr>
    </w:lvl>
    <w:lvl w:ilvl="1" w:tplc="EC32B7BA">
      <w:start w:val="1"/>
      <w:numFmt w:val="lowerLetter"/>
      <w:lvlText w:val="%2."/>
      <w:lvlJc w:val="left"/>
      <w:pPr>
        <w:ind w:left="1440" w:hanging="360"/>
      </w:pPr>
      <w:rPr>
        <w:color w:val="auto"/>
      </w:rPr>
    </w:lvl>
    <w:lvl w:ilvl="2" w:tplc="5490AFDA">
      <w:start w:val="39"/>
      <w:numFmt w:val="bullet"/>
      <w:lvlText w:val=""/>
      <w:lvlJc w:val="left"/>
      <w:pPr>
        <w:ind w:left="2340" w:hanging="360"/>
      </w:pPr>
      <w:rPr>
        <w:rFonts w:ascii="Wingdings" w:eastAsia="Arial Unicode MS"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C732F"/>
    <w:multiLevelType w:val="hybridMultilevel"/>
    <w:tmpl w:val="049E71DE"/>
    <w:lvl w:ilvl="0" w:tplc="5726C9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6A46550"/>
    <w:multiLevelType w:val="hybridMultilevel"/>
    <w:tmpl w:val="877AE5F4"/>
    <w:lvl w:ilvl="0" w:tplc="690ECA82">
      <w:start w:val="1"/>
      <w:numFmt w:val="decimal"/>
      <w:lvlText w:val="%1."/>
      <w:lvlJc w:val="left"/>
      <w:pPr>
        <w:ind w:left="720" w:hanging="360"/>
      </w:pPr>
      <w:rPr>
        <w:rFonts w:ascii="Times New Roman" w:hAnsi="Times New Roman" w:cs="Times New Roman" w:hint="default"/>
        <w:b w:val="0"/>
        <w:bCs/>
      </w:rPr>
    </w:lvl>
    <w:lvl w:ilvl="1" w:tplc="91306EC4">
      <w:start w:val="1"/>
      <w:numFmt w:val="decimal"/>
      <w:lvlText w:val="%2)"/>
      <w:lvlJc w:val="left"/>
      <w:pPr>
        <w:ind w:left="1440" w:hanging="360"/>
      </w:pPr>
      <w:rPr>
        <w:rFonts w:hint="default"/>
      </w:rPr>
    </w:lvl>
    <w:lvl w:ilvl="2" w:tplc="BEDC7B26">
      <w:start w:val="1"/>
      <w:numFmt w:val="lowerLetter"/>
      <w:lvlText w:val="%3)"/>
      <w:lvlJc w:val="left"/>
      <w:pPr>
        <w:ind w:left="2340" w:hanging="360"/>
      </w:pPr>
      <w:rPr>
        <w:rFonts w:hint="default"/>
      </w:rPr>
    </w:lvl>
    <w:lvl w:ilvl="3" w:tplc="E956342A">
      <w:start w:val="8"/>
      <w:numFmt w:val="bullet"/>
      <w:lvlText w:val="-"/>
      <w:lvlJc w:val="left"/>
      <w:pPr>
        <w:ind w:left="2880" w:hanging="360"/>
      </w:pPr>
      <w:rPr>
        <w:rFonts w:ascii="Times New Roman" w:eastAsiaTheme="minorHAnsi" w:hAnsi="Times New Roman" w:cs="Times New Roman" w:hint="default"/>
      </w:r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F4E5515"/>
    <w:multiLevelType w:val="hybridMultilevel"/>
    <w:tmpl w:val="5108293E"/>
    <w:lvl w:ilvl="0" w:tplc="1F00BAAE">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07510B5"/>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8EF43DD"/>
    <w:multiLevelType w:val="hybridMultilevel"/>
    <w:tmpl w:val="F0BE490E"/>
    <w:lvl w:ilvl="0" w:tplc="33B61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074817"/>
    <w:multiLevelType w:val="hybridMultilevel"/>
    <w:tmpl w:val="A4725B6C"/>
    <w:lvl w:ilvl="0" w:tplc="AF0E428E">
      <w:start w:val="8"/>
      <w:numFmt w:val="decimal"/>
      <w:lvlText w:val="%1."/>
      <w:lvlJc w:val="left"/>
      <w:pPr>
        <w:ind w:left="1353" w:hanging="360"/>
      </w:pPr>
      <w:rPr>
        <w:rFonts w:hint="default"/>
        <w:i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7AE90A2A"/>
    <w:multiLevelType w:val="multilevel"/>
    <w:tmpl w:val="47C4C13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390885044">
    <w:abstractNumId w:val="24"/>
  </w:num>
  <w:num w:numId="2" w16cid:durableId="1281303259">
    <w:abstractNumId w:val="4"/>
  </w:num>
  <w:num w:numId="3" w16cid:durableId="2111655017">
    <w:abstractNumId w:val="11"/>
  </w:num>
  <w:num w:numId="4" w16cid:durableId="221985756">
    <w:abstractNumId w:val="13"/>
  </w:num>
  <w:num w:numId="5" w16cid:durableId="1562212201">
    <w:abstractNumId w:val="9"/>
  </w:num>
  <w:num w:numId="6" w16cid:durableId="1918401064">
    <w:abstractNumId w:val="23"/>
  </w:num>
  <w:num w:numId="7" w16cid:durableId="2075425383">
    <w:abstractNumId w:val="21"/>
  </w:num>
  <w:num w:numId="8" w16cid:durableId="1466115833">
    <w:abstractNumId w:val="20"/>
  </w:num>
  <w:num w:numId="9" w16cid:durableId="1720474486">
    <w:abstractNumId w:val="31"/>
  </w:num>
  <w:num w:numId="10" w16cid:durableId="65225206">
    <w:abstractNumId w:val="10"/>
  </w:num>
  <w:num w:numId="11" w16cid:durableId="491340404">
    <w:abstractNumId w:val="32"/>
  </w:num>
  <w:num w:numId="12" w16cid:durableId="184750809">
    <w:abstractNumId w:val="5"/>
  </w:num>
  <w:num w:numId="13" w16cid:durableId="1764256060">
    <w:abstractNumId w:val="16"/>
  </w:num>
  <w:num w:numId="14" w16cid:durableId="224682862">
    <w:abstractNumId w:val="6"/>
  </w:num>
  <w:num w:numId="15" w16cid:durableId="510031345">
    <w:abstractNumId w:val="8"/>
  </w:num>
  <w:num w:numId="16" w16cid:durableId="1006981231">
    <w:abstractNumId w:val="22"/>
  </w:num>
  <w:num w:numId="17" w16cid:durableId="1926382253">
    <w:abstractNumId w:val="27"/>
  </w:num>
  <w:num w:numId="18" w16cid:durableId="1241713063">
    <w:abstractNumId w:val="26"/>
  </w:num>
  <w:num w:numId="19" w16cid:durableId="1439905714">
    <w:abstractNumId w:val="29"/>
  </w:num>
  <w:num w:numId="20" w16cid:durableId="543374166">
    <w:abstractNumId w:val="3"/>
  </w:num>
  <w:num w:numId="21" w16cid:durableId="976297114">
    <w:abstractNumId w:val="17"/>
  </w:num>
  <w:num w:numId="22" w16cid:durableId="593055656">
    <w:abstractNumId w:val="25"/>
  </w:num>
  <w:num w:numId="23" w16cid:durableId="630792302">
    <w:abstractNumId w:val="0"/>
  </w:num>
  <w:num w:numId="24" w16cid:durableId="1337079218">
    <w:abstractNumId w:val="30"/>
  </w:num>
  <w:num w:numId="25" w16cid:durableId="520241099">
    <w:abstractNumId w:val="12"/>
  </w:num>
  <w:num w:numId="26" w16cid:durableId="1684744183">
    <w:abstractNumId w:val="19"/>
  </w:num>
  <w:num w:numId="27" w16cid:durableId="1415207291">
    <w:abstractNumId w:val="7"/>
  </w:num>
  <w:num w:numId="28" w16cid:durableId="1847402393">
    <w:abstractNumId w:val="28"/>
  </w:num>
  <w:num w:numId="29" w16cid:durableId="1170215710">
    <w:abstractNumId w:val="18"/>
  </w:num>
  <w:num w:numId="30" w16cid:durableId="175770609">
    <w:abstractNumId w:val="33"/>
  </w:num>
  <w:num w:numId="31" w16cid:durableId="1110012038">
    <w:abstractNumId w:val="15"/>
  </w:num>
  <w:num w:numId="32" w16cid:durableId="586695346">
    <w:abstractNumId w:val="1"/>
  </w:num>
  <w:num w:numId="33" w16cid:durableId="158617725">
    <w:abstractNumId w:val="2"/>
  </w:num>
  <w:num w:numId="34" w16cid:durableId="121723221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73"/>
    <w:rsid w:val="00001D9C"/>
    <w:rsid w:val="00003AF8"/>
    <w:rsid w:val="00010D81"/>
    <w:rsid w:val="000158D2"/>
    <w:rsid w:val="00015F07"/>
    <w:rsid w:val="00016ADF"/>
    <w:rsid w:val="0001798B"/>
    <w:rsid w:val="00024F5D"/>
    <w:rsid w:val="0002546B"/>
    <w:rsid w:val="00025A92"/>
    <w:rsid w:val="00030776"/>
    <w:rsid w:val="00032557"/>
    <w:rsid w:val="000335E0"/>
    <w:rsid w:val="000453F8"/>
    <w:rsid w:val="000473F3"/>
    <w:rsid w:val="00051B9A"/>
    <w:rsid w:val="000520BC"/>
    <w:rsid w:val="00052F52"/>
    <w:rsid w:val="00052FA0"/>
    <w:rsid w:val="0005447A"/>
    <w:rsid w:val="00060B1B"/>
    <w:rsid w:val="00067C06"/>
    <w:rsid w:val="00071539"/>
    <w:rsid w:val="00071E67"/>
    <w:rsid w:val="00074E4C"/>
    <w:rsid w:val="00075388"/>
    <w:rsid w:val="0007705C"/>
    <w:rsid w:val="000835E1"/>
    <w:rsid w:val="000850A5"/>
    <w:rsid w:val="000876C4"/>
    <w:rsid w:val="00096474"/>
    <w:rsid w:val="000A29BF"/>
    <w:rsid w:val="000A3B3F"/>
    <w:rsid w:val="000A5A50"/>
    <w:rsid w:val="000A5F47"/>
    <w:rsid w:val="000B234D"/>
    <w:rsid w:val="000B7668"/>
    <w:rsid w:val="000C4B5C"/>
    <w:rsid w:val="000D1910"/>
    <w:rsid w:val="000D1A25"/>
    <w:rsid w:val="000D35FB"/>
    <w:rsid w:val="000D3919"/>
    <w:rsid w:val="000D761E"/>
    <w:rsid w:val="000D7CA1"/>
    <w:rsid w:val="000E24D6"/>
    <w:rsid w:val="000E329A"/>
    <w:rsid w:val="000E6D95"/>
    <w:rsid w:val="000F1893"/>
    <w:rsid w:val="000F19A0"/>
    <w:rsid w:val="000F25BB"/>
    <w:rsid w:val="000F50DE"/>
    <w:rsid w:val="00100467"/>
    <w:rsid w:val="001015FD"/>
    <w:rsid w:val="001018B3"/>
    <w:rsid w:val="00114F17"/>
    <w:rsid w:val="00117FF8"/>
    <w:rsid w:val="00130EEF"/>
    <w:rsid w:val="00134814"/>
    <w:rsid w:val="00136C35"/>
    <w:rsid w:val="001373DE"/>
    <w:rsid w:val="00140596"/>
    <w:rsid w:val="00141A4D"/>
    <w:rsid w:val="00142B82"/>
    <w:rsid w:val="001432F6"/>
    <w:rsid w:val="00143DF7"/>
    <w:rsid w:val="00147A76"/>
    <w:rsid w:val="001531F1"/>
    <w:rsid w:val="00154C01"/>
    <w:rsid w:val="00155A7F"/>
    <w:rsid w:val="00155E00"/>
    <w:rsid w:val="0015608E"/>
    <w:rsid w:val="00157FF4"/>
    <w:rsid w:val="00163F5B"/>
    <w:rsid w:val="001640E9"/>
    <w:rsid w:val="00170808"/>
    <w:rsid w:val="00171800"/>
    <w:rsid w:val="001731ED"/>
    <w:rsid w:val="00175747"/>
    <w:rsid w:val="00175883"/>
    <w:rsid w:val="00180CC3"/>
    <w:rsid w:val="001830C7"/>
    <w:rsid w:val="00190B87"/>
    <w:rsid w:val="00191F99"/>
    <w:rsid w:val="00191FA2"/>
    <w:rsid w:val="001A1FB8"/>
    <w:rsid w:val="001A4DE8"/>
    <w:rsid w:val="001B1C01"/>
    <w:rsid w:val="001B281D"/>
    <w:rsid w:val="001B2C74"/>
    <w:rsid w:val="001B4C1F"/>
    <w:rsid w:val="001B680B"/>
    <w:rsid w:val="001B73D6"/>
    <w:rsid w:val="001C246D"/>
    <w:rsid w:val="001C69FC"/>
    <w:rsid w:val="001C6D33"/>
    <w:rsid w:val="001D1CBF"/>
    <w:rsid w:val="001D7229"/>
    <w:rsid w:val="001D728A"/>
    <w:rsid w:val="001D72F3"/>
    <w:rsid w:val="001F02C8"/>
    <w:rsid w:val="001F5296"/>
    <w:rsid w:val="001F5A07"/>
    <w:rsid w:val="001F65BA"/>
    <w:rsid w:val="001F6AF5"/>
    <w:rsid w:val="002038FD"/>
    <w:rsid w:val="00207FD9"/>
    <w:rsid w:val="00216EAF"/>
    <w:rsid w:val="00221B89"/>
    <w:rsid w:val="00222AAD"/>
    <w:rsid w:val="00225B07"/>
    <w:rsid w:val="00226B2A"/>
    <w:rsid w:val="00231F49"/>
    <w:rsid w:val="002321CD"/>
    <w:rsid w:val="0023610D"/>
    <w:rsid w:val="0024642E"/>
    <w:rsid w:val="00247DEC"/>
    <w:rsid w:val="00260EFD"/>
    <w:rsid w:val="00272561"/>
    <w:rsid w:val="002737F5"/>
    <w:rsid w:val="00273C2C"/>
    <w:rsid w:val="00273D6E"/>
    <w:rsid w:val="00274506"/>
    <w:rsid w:val="00283894"/>
    <w:rsid w:val="00284EC0"/>
    <w:rsid w:val="00286BFD"/>
    <w:rsid w:val="002874AE"/>
    <w:rsid w:val="00287961"/>
    <w:rsid w:val="00290406"/>
    <w:rsid w:val="00290DDA"/>
    <w:rsid w:val="0029210A"/>
    <w:rsid w:val="00292CEF"/>
    <w:rsid w:val="00293EEC"/>
    <w:rsid w:val="002A0E3F"/>
    <w:rsid w:val="002A2E6B"/>
    <w:rsid w:val="002A34C7"/>
    <w:rsid w:val="002A4007"/>
    <w:rsid w:val="002A7B53"/>
    <w:rsid w:val="002B2FD9"/>
    <w:rsid w:val="002B630E"/>
    <w:rsid w:val="002B7D11"/>
    <w:rsid w:val="002C24E3"/>
    <w:rsid w:val="002C4B00"/>
    <w:rsid w:val="002D0141"/>
    <w:rsid w:val="002D3C92"/>
    <w:rsid w:val="002E144D"/>
    <w:rsid w:val="002E23B7"/>
    <w:rsid w:val="002E23E7"/>
    <w:rsid w:val="002E7BD3"/>
    <w:rsid w:val="002F281A"/>
    <w:rsid w:val="002F30E6"/>
    <w:rsid w:val="002F5029"/>
    <w:rsid w:val="0030064B"/>
    <w:rsid w:val="00304DDE"/>
    <w:rsid w:val="00306BFA"/>
    <w:rsid w:val="003251A4"/>
    <w:rsid w:val="00326AB9"/>
    <w:rsid w:val="00333386"/>
    <w:rsid w:val="003343BA"/>
    <w:rsid w:val="00335B75"/>
    <w:rsid w:val="003409C8"/>
    <w:rsid w:val="0034174A"/>
    <w:rsid w:val="00343A8F"/>
    <w:rsid w:val="00344056"/>
    <w:rsid w:val="00344B19"/>
    <w:rsid w:val="003501FF"/>
    <w:rsid w:val="0035372B"/>
    <w:rsid w:val="00353CAE"/>
    <w:rsid w:val="00355332"/>
    <w:rsid w:val="00355BF7"/>
    <w:rsid w:val="00362849"/>
    <w:rsid w:val="00365609"/>
    <w:rsid w:val="0037189C"/>
    <w:rsid w:val="00385569"/>
    <w:rsid w:val="0038769D"/>
    <w:rsid w:val="00391A95"/>
    <w:rsid w:val="00393189"/>
    <w:rsid w:val="00395FFC"/>
    <w:rsid w:val="003A16A0"/>
    <w:rsid w:val="003A2E98"/>
    <w:rsid w:val="003A350E"/>
    <w:rsid w:val="003A6590"/>
    <w:rsid w:val="003A7277"/>
    <w:rsid w:val="003B14E9"/>
    <w:rsid w:val="003B467C"/>
    <w:rsid w:val="003B5C50"/>
    <w:rsid w:val="003B66CA"/>
    <w:rsid w:val="003B74E7"/>
    <w:rsid w:val="003B786B"/>
    <w:rsid w:val="003C0E44"/>
    <w:rsid w:val="003C52CB"/>
    <w:rsid w:val="003C6504"/>
    <w:rsid w:val="003D25F0"/>
    <w:rsid w:val="003D574A"/>
    <w:rsid w:val="003E0287"/>
    <w:rsid w:val="003E1903"/>
    <w:rsid w:val="003E22F7"/>
    <w:rsid w:val="003E7AAE"/>
    <w:rsid w:val="003F402C"/>
    <w:rsid w:val="003F486D"/>
    <w:rsid w:val="003F5B3C"/>
    <w:rsid w:val="00401777"/>
    <w:rsid w:val="00411085"/>
    <w:rsid w:val="004114BC"/>
    <w:rsid w:val="004139C2"/>
    <w:rsid w:val="00414194"/>
    <w:rsid w:val="00415A32"/>
    <w:rsid w:val="00417DF0"/>
    <w:rsid w:val="004251A1"/>
    <w:rsid w:val="004256FB"/>
    <w:rsid w:val="00426B6A"/>
    <w:rsid w:val="0043016A"/>
    <w:rsid w:val="00433910"/>
    <w:rsid w:val="00433F10"/>
    <w:rsid w:val="00434040"/>
    <w:rsid w:val="00436512"/>
    <w:rsid w:val="00437156"/>
    <w:rsid w:val="00440B8E"/>
    <w:rsid w:val="00447DF9"/>
    <w:rsid w:val="004554A7"/>
    <w:rsid w:val="00460FD0"/>
    <w:rsid w:val="00462A87"/>
    <w:rsid w:val="00463AF3"/>
    <w:rsid w:val="004642C3"/>
    <w:rsid w:val="0046466E"/>
    <w:rsid w:val="004646E0"/>
    <w:rsid w:val="004651DF"/>
    <w:rsid w:val="00473066"/>
    <w:rsid w:val="00473E33"/>
    <w:rsid w:val="0048260B"/>
    <w:rsid w:val="004832AC"/>
    <w:rsid w:val="00483371"/>
    <w:rsid w:val="00486DD1"/>
    <w:rsid w:val="0049096A"/>
    <w:rsid w:val="004918A3"/>
    <w:rsid w:val="00493520"/>
    <w:rsid w:val="00493B24"/>
    <w:rsid w:val="00493E4B"/>
    <w:rsid w:val="00494263"/>
    <w:rsid w:val="004A26A6"/>
    <w:rsid w:val="004B277F"/>
    <w:rsid w:val="004B3CF9"/>
    <w:rsid w:val="004B63BB"/>
    <w:rsid w:val="004B655A"/>
    <w:rsid w:val="004B68E0"/>
    <w:rsid w:val="004B7DDD"/>
    <w:rsid w:val="004C56E7"/>
    <w:rsid w:val="004D13A2"/>
    <w:rsid w:val="004D1AE5"/>
    <w:rsid w:val="004D207A"/>
    <w:rsid w:val="004D5D23"/>
    <w:rsid w:val="004E24F8"/>
    <w:rsid w:val="004E328B"/>
    <w:rsid w:val="00500B86"/>
    <w:rsid w:val="005037C8"/>
    <w:rsid w:val="005064AE"/>
    <w:rsid w:val="0051151B"/>
    <w:rsid w:val="00514C33"/>
    <w:rsid w:val="00520E50"/>
    <w:rsid w:val="0052222B"/>
    <w:rsid w:val="00523874"/>
    <w:rsid w:val="005248DD"/>
    <w:rsid w:val="0052508A"/>
    <w:rsid w:val="00525701"/>
    <w:rsid w:val="00527217"/>
    <w:rsid w:val="00531CD6"/>
    <w:rsid w:val="00534345"/>
    <w:rsid w:val="00535527"/>
    <w:rsid w:val="00536A18"/>
    <w:rsid w:val="00536C54"/>
    <w:rsid w:val="00537105"/>
    <w:rsid w:val="00543997"/>
    <w:rsid w:val="005442AD"/>
    <w:rsid w:val="005442CA"/>
    <w:rsid w:val="00551FC3"/>
    <w:rsid w:val="00557186"/>
    <w:rsid w:val="00562F8E"/>
    <w:rsid w:val="0056508D"/>
    <w:rsid w:val="005665A7"/>
    <w:rsid w:val="00566AE0"/>
    <w:rsid w:val="005705BD"/>
    <w:rsid w:val="00571C2C"/>
    <w:rsid w:val="00572336"/>
    <w:rsid w:val="005736A5"/>
    <w:rsid w:val="0057535D"/>
    <w:rsid w:val="005760C6"/>
    <w:rsid w:val="00580428"/>
    <w:rsid w:val="00582D07"/>
    <w:rsid w:val="005832F1"/>
    <w:rsid w:val="00592C8A"/>
    <w:rsid w:val="00597143"/>
    <w:rsid w:val="005A16C7"/>
    <w:rsid w:val="005A331E"/>
    <w:rsid w:val="005A33C6"/>
    <w:rsid w:val="005B071D"/>
    <w:rsid w:val="005B0854"/>
    <w:rsid w:val="005B1E41"/>
    <w:rsid w:val="005B2691"/>
    <w:rsid w:val="005B2ECE"/>
    <w:rsid w:val="005B573D"/>
    <w:rsid w:val="005C0FC4"/>
    <w:rsid w:val="005C16D2"/>
    <w:rsid w:val="005C1753"/>
    <w:rsid w:val="005C212B"/>
    <w:rsid w:val="005D0749"/>
    <w:rsid w:val="005D353E"/>
    <w:rsid w:val="005D47BC"/>
    <w:rsid w:val="005D4FCE"/>
    <w:rsid w:val="005D754D"/>
    <w:rsid w:val="005D7E14"/>
    <w:rsid w:val="005E02AD"/>
    <w:rsid w:val="005F1AC6"/>
    <w:rsid w:val="005F3A73"/>
    <w:rsid w:val="005F5B40"/>
    <w:rsid w:val="00601307"/>
    <w:rsid w:val="0060316F"/>
    <w:rsid w:val="00603294"/>
    <w:rsid w:val="00604EF1"/>
    <w:rsid w:val="0060551D"/>
    <w:rsid w:val="0061243E"/>
    <w:rsid w:val="0061332B"/>
    <w:rsid w:val="006162E3"/>
    <w:rsid w:val="00622402"/>
    <w:rsid w:val="00630FC2"/>
    <w:rsid w:val="006315F5"/>
    <w:rsid w:val="00631B13"/>
    <w:rsid w:val="00632557"/>
    <w:rsid w:val="006330D9"/>
    <w:rsid w:val="00633EC7"/>
    <w:rsid w:val="00634D1D"/>
    <w:rsid w:val="006359A5"/>
    <w:rsid w:val="00635D39"/>
    <w:rsid w:val="00641B57"/>
    <w:rsid w:val="0064379E"/>
    <w:rsid w:val="00643E3E"/>
    <w:rsid w:val="00643F80"/>
    <w:rsid w:val="00655D26"/>
    <w:rsid w:val="00657DA7"/>
    <w:rsid w:val="00667816"/>
    <w:rsid w:val="006708CE"/>
    <w:rsid w:val="00673801"/>
    <w:rsid w:val="00675F66"/>
    <w:rsid w:val="00676ADA"/>
    <w:rsid w:val="00676F18"/>
    <w:rsid w:val="00690FCC"/>
    <w:rsid w:val="00691EF3"/>
    <w:rsid w:val="0069358D"/>
    <w:rsid w:val="006951EC"/>
    <w:rsid w:val="006A762F"/>
    <w:rsid w:val="006B094C"/>
    <w:rsid w:val="006B1661"/>
    <w:rsid w:val="006B330A"/>
    <w:rsid w:val="006B33D2"/>
    <w:rsid w:val="006B47BA"/>
    <w:rsid w:val="006B649F"/>
    <w:rsid w:val="006C1B67"/>
    <w:rsid w:val="006C2256"/>
    <w:rsid w:val="006C2AFA"/>
    <w:rsid w:val="006C3D5C"/>
    <w:rsid w:val="006D0DDF"/>
    <w:rsid w:val="006D28B5"/>
    <w:rsid w:val="006D3679"/>
    <w:rsid w:val="006D3C0B"/>
    <w:rsid w:val="006D6A9C"/>
    <w:rsid w:val="006D7611"/>
    <w:rsid w:val="006E4C80"/>
    <w:rsid w:val="006E643D"/>
    <w:rsid w:val="006E7199"/>
    <w:rsid w:val="006F00B8"/>
    <w:rsid w:val="006F34BF"/>
    <w:rsid w:val="006F5219"/>
    <w:rsid w:val="006F7952"/>
    <w:rsid w:val="007004E4"/>
    <w:rsid w:val="007006A2"/>
    <w:rsid w:val="00703E16"/>
    <w:rsid w:val="00704724"/>
    <w:rsid w:val="00707266"/>
    <w:rsid w:val="007110D4"/>
    <w:rsid w:val="007133C1"/>
    <w:rsid w:val="00715A0E"/>
    <w:rsid w:val="00720245"/>
    <w:rsid w:val="00721DC2"/>
    <w:rsid w:val="00726A49"/>
    <w:rsid w:val="00726B2D"/>
    <w:rsid w:val="007316C3"/>
    <w:rsid w:val="0073676A"/>
    <w:rsid w:val="007471EF"/>
    <w:rsid w:val="00747AC2"/>
    <w:rsid w:val="00750212"/>
    <w:rsid w:val="00750494"/>
    <w:rsid w:val="00752E26"/>
    <w:rsid w:val="007538EA"/>
    <w:rsid w:val="00755D83"/>
    <w:rsid w:val="00757978"/>
    <w:rsid w:val="00757F5A"/>
    <w:rsid w:val="0076289C"/>
    <w:rsid w:val="007628EF"/>
    <w:rsid w:val="00775E84"/>
    <w:rsid w:val="007761CB"/>
    <w:rsid w:val="00776C7C"/>
    <w:rsid w:val="007779EA"/>
    <w:rsid w:val="00780AF5"/>
    <w:rsid w:val="0079064E"/>
    <w:rsid w:val="00790854"/>
    <w:rsid w:val="007910DD"/>
    <w:rsid w:val="00793494"/>
    <w:rsid w:val="00793EE1"/>
    <w:rsid w:val="00794DBD"/>
    <w:rsid w:val="007A081B"/>
    <w:rsid w:val="007A0B54"/>
    <w:rsid w:val="007A1BC5"/>
    <w:rsid w:val="007A20FD"/>
    <w:rsid w:val="007A3D23"/>
    <w:rsid w:val="007A3DB2"/>
    <w:rsid w:val="007A4337"/>
    <w:rsid w:val="007A57D6"/>
    <w:rsid w:val="007B1192"/>
    <w:rsid w:val="007B14D9"/>
    <w:rsid w:val="007B564C"/>
    <w:rsid w:val="007C7951"/>
    <w:rsid w:val="007E4E9E"/>
    <w:rsid w:val="007F3499"/>
    <w:rsid w:val="007F3A2B"/>
    <w:rsid w:val="007F47E2"/>
    <w:rsid w:val="00800969"/>
    <w:rsid w:val="00800FFC"/>
    <w:rsid w:val="0080142B"/>
    <w:rsid w:val="00805F71"/>
    <w:rsid w:val="00806EB5"/>
    <w:rsid w:val="00811CEA"/>
    <w:rsid w:val="008163A7"/>
    <w:rsid w:val="00820B0A"/>
    <w:rsid w:val="008231F0"/>
    <w:rsid w:val="008247F9"/>
    <w:rsid w:val="008339BB"/>
    <w:rsid w:val="00833F7C"/>
    <w:rsid w:val="00834B74"/>
    <w:rsid w:val="00837BFE"/>
    <w:rsid w:val="008441C5"/>
    <w:rsid w:val="0084486F"/>
    <w:rsid w:val="008452A2"/>
    <w:rsid w:val="0085208E"/>
    <w:rsid w:val="00852CEE"/>
    <w:rsid w:val="00852E92"/>
    <w:rsid w:val="00857D50"/>
    <w:rsid w:val="0086484D"/>
    <w:rsid w:val="00876062"/>
    <w:rsid w:val="0087660B"/>
    <w:rsid w:val="008774C1"/>
    <w:rsid w:val="00880327"/>
    <w:rsid w:val="0088389F"/>
    <w:rsid w:val="00885D93"/>
    <w:rsid w:val="00890C7C"/>
    <w:rsid w:val="00892150"/>
    <w:rsid w:val="00895020"/>
    <w:rsid w:val="008A1A95"/>
    <w:rsid w:val="008A2D6D"/>
    <w:rsid w:val="008A2F85"/>
    <w:rsid w:val="008A6F6C"/>
    <w:rsid w:val="008B2C20"/>
    <w:rsid w:val="008B2D5D"/>
    <w:rsid w:val="008B4EBA"/>
    <w:rsid w:val="008B6702"/>
    <w:rsid w:val="008B6B86"/>
    <w:rsid w:val="008C322C"/>
    <w:rsid w:val="008C4817"/>
    <w:rsid w:val="008C673E"/>
    <w:rsid w:val="008C7ED8"/>
    <w:rsid w:val="008D02C1"/>
    <w:rsid w:val="008D1014"/>
    <w:rsid w:val="008D1BF3"/>
    <w:rsid w:val="008D22EE"/>
    <w:rsid w:val="008D5BB4"/>
    <w:rsid w:val="008D7F28"/>
    <w:rsid w:val="008E002B"/>
    <w:rsid w:val="008E282D"/>
    <w:rsid w:val="008F0CCD"/>
    <w:rsid w:val="008F1030"/>
    <w:rsid w:val="008F20A0"/>
    <w:rsid w:val="008F4A7D"/>
    <w:rsid w:val="008F4AE9"/>
    <w:rsid w:val="008F5163"/>
    <w:rsid w:val="008F6172"/>
    <w:rsid w:val="008F7F12"/>
    <w:rsid w:val="0090397D"/>
    <w:rsid w:val="0091054F"/>
    <w:rsid w:val="009117EA"/>
    <w:rsid w:val="00923320"/>
    <w:rsid w:val="00927289"/>
    <w:rsid w:val="00930407"/>
    <w:rsid w:val="009356D7"/>
    <w:rsid w:val="0093615D"/>
    <w:rsid w:val="0093681A"/>
    <w:rsid w:val="0094579F"/>
    <w:rsid w:val="00945873"/>
    <w:rsid w:val="00945B36"/>
    <w:rsid w:val="009507AE"/>
    <w:rsid w:val="00955F93"/>
    <w:rsid w:val="00965FBC"/>
    <w:rsid w:val="00970C0E"/>
    <w:rsid w:val="00976963"/>
    <w:rsid w:val="00993C2D"/>
    <w:rsid w:val="009A3CD5"/>
    <w:rsid w:val="009A7894"/>
    <w:rsid w:val="009A7CF4"/>
    <w:rsid w:val="009B3A7F"/>
    <w:rsid w:val="009B4A85"/>
    <w:rsid w:val="009B64E9"/>
    <w:rsid w:val="009C4EAD"/>
    <w:rsid w:val="009C7033"/>
    <w:rsid w:val="009D06EC"/>
    <w:rsid w:val="009E0264"/>
    <w:rsid w:val="009E0906"/>
    <w:rsid w:val="009E0ACF"/>
    <w:rsid w:val="009E142A"/>
    <w:rsid w:val="009E22E2"/>
    <w:rsid w:val="009E6B87"/>
    <w:rsid w:val="009E6DDE"/>
    <w:rsid w:val="009E7064"/>
    <w:rsid w:val="009E789F"/>
    <w:rsid w:val="009F5549"/>
    <w:rsid w:val="009F6CB8"/>
    <w:rsid w:val="00A02580"/>
    <w:rsid w:val="00A039C8"/>
    <w:rsid w:val="00A07DF5"/>
    <w:rsid w:val="00A10596"/>
    <w:rsid w:val="00A15662"/>
    <w:rsid w:val="00A175FD"/>
    <w:rsid w:val="00A205F7"/>
    <w:rsid w:val="00A2123C"/>
    <w:rsid w:val="00A221F8"/>
    <w:rsid w:val="00A23052"/>
    <w:rsid w:val="00A256DB"/>
    <w:rsid w:val="00A319E1"/>
    <w:rsid w:val="00A41355"/>
    <w:rsid w:val="00A509EE"/>
    <w:rsid w:val="00A55B48"/>
    <w:rsid w:val="00A55FA4"/>
    <w:rsid w:val="00A63884"/>
    <w:rsid w:val="00A64198"/>
    <w:rsid w:val="00A664C0"/>
    <w:rsid w:val="00A70A3E"/>
    <w:rsid w:val="00A73010"/>
    <w:rsid w:val="00A75BB6"/>
    <w:rsid w:val="00A76A65"/>
    <w:rsid w:val="00A77BB5"/>
    <w:rsid w:val="00A836D4"/>
    <w:rsid w:val="00A85493"/>
    <w:rsid w:val="00A8566D"/>
    <w:rsid w:val="00A94F1E"/>
    <w:rsid w:val="00A97FAA"/>
    <w:rsid w:val="00AA1549"/>
    <w:rsid w:val="00AB0C1C"/>
    <w:rsid w:val="00AB1449"/>
    <w:rsid w:val="00AB5BB4"/>
    <w:rsid w:val="00AC2607"/>
    <w:rsid w:val="00AC5276"/>
    <w:rsid w:val="00AC6EDB"/>
    <w:rsid w:val="00AD1A65"/>
    <w:rsid w:val="00AD6D61"/>
    <w:rsid w:val="00AE0751"/>
    <w:rsid w:val="00AE2643"/>
    <w:rsid w:val="00AE3D98"/>
    <w:rsid w:val="00AE3F89"/>
    <w:rsid w:val="00AE4669"/>
    <w:rsid w:val="00AF0201"/>
    <w:rsid w:val="00AF048F"/>
    <w:rsid w:val="00AF1160"/>
    <w:rsid w:val="00AF58F9"/>
    <w:rsid w:val="00AF701D"/>
    <w:rsid w:val="00B009FC"/>
    <w:rsid w:val="00B020C7"/>
    <w:rsid w:val="00B02A55"/>
    <w:rsid w:val="00B0686E"/>
    <w:rsid w:val="00B123E5"/>
    <w:rsid w:val="00B15249"/>
    <w:rsid w:val="00B2032C"/>
    <w:rsid w:val="00B20C8C"/>
    <w:rsid w:val="00B32EDF"/>
    <w:rsid w:val="00B33863"/>
    <w:rsid w:val="00B40AF5"/>
    <w:rsid w:val="00B41DC9"/>
    <w:rsid w:val="00B43029"/>
    <w:rsid w:val="00B43550"/>
    <w:rsid w:val="00B44FE3"/>
    <w:rsid w:val="00B51CC1"/>
    <w:rsid w:val="00B52837"/>
    <w:rsid w:val="00B5508E"/>
    <w:rsid w:val="00B55131"/>
    <w:rsid w:val="00B606C5"/>
    <w:rsid w:val="00B61078"/>
    <w:rsid w:val="00B62E56"/>
    <w:rsid w:val="00B634FF"/>
    <w:rsid w:val="00B67C56"/>
    <w:rsid w:val="00B70F9E"/>
    <w:rsid w:val="00B71442"/>
    <w:rsid w:val="00B7257B"/>
    <w:rsid w:val="00B76E7C"/>
    <w:rsid w:val="00B8028B"/>
    <w:rsid w:val="00B81AAF"/>
    <w:rsid w:val="00B8613A"/>
    <w:rsid w:val="00B87429"/>
    <w:rsid w:val="00B87837"/>
    <w:rsid w:val="00B93467"/>
    <w:rsid w:val="00B93C1C"/>
    <w:rsid w:val="00BA1A4C"/>
    <w:rsid w:val="00BA2C2E"/>
    <w:rsid w:val="00BA776E"/>
    <w:rsid w:val="00BA7B3D"/>
    <w:rsid w:val="00BB0BD3"/>
    <w:rsid w:val="00BB1AB7"/>
    <w:rsid w:val="00BB1BF4"/>
    <w:rsid w:val="00BB297A"/>
    <w:rsid w:val="00BB4169"/>
    <w:rsid w:val="00BB65D4"/>
    <w:rsid w:val="00BB6991"/>
    <w:rsid w:val="00BB6D4C"/>
    <w:rsid w:val="00BC4A1F"/>
    <w:rsid w:val="00BC6D66"/>
    <w:rsid w:val="00BD2C17"/>
    <w:rsid w:val="00BD6835"/>
    <w:rsid w:val="00BD773B"/>
    <w:rsid w:val="00BE28D9"/>
    <w:rsid w:val="00BE313F"/>
    <w:rsid w:val="00BE33CD"/>
    <w:rsid w:val="00BF2708"/>
    <w:rsid w:val="00BF62F0"/>
    <w:rsid w:val="00BF6BFA"/>
    <w:rsid w:val="00C0042D"/>
    <w:rsid w:val="00C03FFC"/>
    <w:rsid w:val="00C04764"/>
    <w:rsid w:val="00C05B83"/>
    <w:rsid w:val="00C05FC9"/>
    <w:rsid w:val="00C0636D"/>
    <w:rsid w:val="00C06A8C"/>
    <w:rsid w:val="00C07C55"/>
    <w:rsid w:val="00C100F8"/>
    <w:rsid w:val="00C11CD1"/>
    <w:rsid w:val="00C15678"/>
    <w:rsid w:val="00C168FA"/>
    <w:rsid w:val="00C24B0E"/>
    <w:rsid w:val="00C250B6"/>
    <w:rsid w:val="00C26A4B"/>
    <w:rsid w:val="00C2776A"/>
    <w:rsid w:val="00C30735"/>
    <w:rsid w:val="00C32A0E"/>
    <w:rsid w:val="00C343F5"/>
    <w:rsid w:val="00C36BF3"/>
    <w:rsid w:val="00C3709E"/>
    <w:rsid w:val="00C4000F"/>
    <w:rsid w:val="00C450A1"/>
    <w:rsid w:val="00C46623"/>
    <w:rsid w:val="00C51731"/>
    <w:rsid w:val="00C52FC7"/>
    <w:rsid w:val="00C5551E"/>
    <w:rsid w:val="00C556FF"/>
    <w:rsid w:val="00C61EED"/>
    <w:rsid w:val="00C7058D"/>
    <w:rsid w:val="00C746A8"/>
    <w:rsid w:val="00C86AF2"/>
    <w:rsid w:val="00C91850"/>
    <w:rsid w:val="00C957F1"/>
    <w:rsid w:val="00CA1B43"/>
    <w:rsid w:val="00CA54C9"/>
    <w:rsid w:val="00CA5654"/>
    <w:rsid w:val="00CA5D29"/>
    <w:rsid w:val="00CA6CDC"/>
    <w:rsid w:val="00CB1B13"/>
    <w:rsid w:val="00CB74E2"/>
    <w:rsid w:val="00CB76C6"/>
    <w:rsid w:val="00CB7DAD"/>
    <w:rsid w:val="00CC0669"/>
    <w:rsid w:val="00CC06C1"/>
    <w:rsid w:val="00CC3AD8"/>
    <w:rsid w:val="00CC4651"/>
    <w:rsid w:val="00CC518E"/>
    <w:rsid w:val="00CC5E8E"/>
    <w:rsid w:val="00CD067C"/>
    <w:rsid w:val="00CF03D9"/>
    <w:rsid w:val="00CF0BC0"/>
    <w:rsid w:val="00CF317F"/>
    <w:rsid w:val="00D047A3"/>
    <w:rsid w:val="00D0505B"/>
    <w:rsid w:val="00D12694"/>
    <w:rsid w:val="00D20542"/>
    <w:rsid w:val="00D20A7D"/>
    <w:rsid w:val="00D2227B"/>
    <w:rsid w:val="00D27281"/>
    <w:rsid w:val="00D27321"/>
    <w:rsid w:val="00D27703"/>
    <w:rsid w:val="00D3131C"/>
    <w:rsid w:val="00D32535"/>
    <w:rsid w:val="00D32ED2"/>
    <w:rsid w:val="00D3369B"/>
    <w:rsid w:val="00D338C2"/>
    <w:rsid w:val="00D345BE"/>
    <w:rsid w:val="00D3512F"/>
    <w:rsid w:val="00D35BF7"/>
    <w:rsid w:val="00D40B18"/>
    <w:rsid w:val="00D44481"/>
    <w:rsid w:val="00D448B2"/>
    <w:rsid w:val="00D46FA3"/>
    <w:rsid w:val="00D47212"/>
    <w:rsid w:val="00D51993"/>
    <w:rsid w:val="00D53454"/>
    <w:rsid w:val="00D55CE9"/>
    <w:rsid w:val="00D60DB7"/>
    <w:rsid w:val="00D660E5"/>
    <w:rsid w:val="00D72BB5"/>
    <w:rsid w:val="00D7332F"/>
    <w:rsid w:val="00D7463D"/>
    <w:rsid w:val="00D74B44"/>
    <w:rsid w:val="00D91908"/>
    <w:rsid w:val="00DA1687"/>
    <w:rsid w:val="00DA2C4E"/>
    <w:rsid w:val="00DA58FE"/>
    <w:rsid w:val="00DB4557"/>
    <w:rsid w:val="00DB5AA7"/>
    <w:rsid w:val="00DB794C"/>
    <w:rsid w:val="00DC0510"/>
    <w:rsid w:val="00DC15D8"/>
    <w:rsid w:val="00DC39EF"/>
    <w:rsid w:val="00DC3F6B"/>
    <w:rsid w:val="00DC5378"/>
    <w:rsid w:val="00DC68B0"/>
    <w:rsid w:val="00DC71C2"/>
    <w:rsid w:val="00DC7867"/>
    <w:rsid w:val="00DD32DC"/>
    <w:rsid w:val="00DD3347"/>
    <w:rsid w:val="00DD7F8C"/>
    <w:rsid w:val="00DE1309"/>
    <w:rsid w:val="00DE176B"/>
    <w:rsid w:val="00DE4E20"/>
    <w:rsid w:val="00DE6B37"/>
    <w:rsid w:val="00DF075A"/>
    <w:rsid w:val="00DF52A9"/>
    <w:rsid w:val="00DF60F4"/>
    <w:rsid w:val="00E0286A"/>
    <w:rsid w:val="00E04F44"/>
    <w:rsid w:val="00E05B5C"/>
    <w:rsid w:val="00E1136B"/>
    <w:rsid w:val="00E11E52"/>
    <w:rsid w:val="00E14AF2"/>
    <w:rsid w:val="00E15328"/>
    <w:rsid w:val="00E15BA4"/>
    <w:rsid w:val="00E1613D"/>
    <w:rsid w:val="00E17F25"/>
    <w:rsid w:val="00E2144B"/>
    <w:rsid w:val="00E25358"/>
    <w:rsid w:val="00E256A7"/>
    <w:rsid w:val="00E3002F"/>
    <w:rsid w:val="00E302C2"/>
    <w:rsid w:val="00E30982"/>
    <w:rsid w:val="00E36801"/>
    <w:rsid w:val="00E43247"/>
    <w:rsid w:val="00E46451"/>
    <w:rsid w:val="00E538FD"/>
    <w:rsid w:val="00E5655A"/>
    <w:rsid w:val="00E65470"/>
    <w:rsid w:val="00E6689E"/>
    <w:rsid w:val="00E70D0E"/>
    <w:rsid w:val="00E71657"/>
    <w:rsid w:val="00E71814"/>
    <w:rsid w:val="00E7237C"/>
    <w:rsid w:val="00E725CD"/>
    <w:rsid w:val="00E746C4"/>
    <w:rsid w:val="00E74891"/>
    <w:rsid w:val="00E74EC4"/>
    <w:rsid w:val="00E760E5"/>
    <w:rsid w:val="00E80231"/>
    <w:rsid w:val="00E8669B"/>
    <w:rsid w:val="00E87412"/>
    <w:rsid w:val="00E92C81"/>
    <w:rsid w:val="00E954CD"/>
    <w:rsid w:val="00EA3006"/>
    <w:rsid w:val="00EA6955"/>
    <w:rsid w:val="00EC2284"/>
    <w:rsid w:val="00EC4384"/>
    <w:rsid w:val="00EC52D7"/>
    <w:rsid w:val="00EC5913"/>
    <w:rsid w:val="00ED072E"/>
    <w:rsid w:val="00ED11E2"/>
    <w:rsid w:val="00ED4AB0"/>
    <w:rsid w:val="00EE1333"/>
    <w:rsid w:val="00EE3354"/>
    <w:rsid w:val="00EE3409"/>
    <w:rsid w:val="00EE4374"/>
    <w:rsid w:val="00EE5F91"/>
    <w:rsid w:val="00EF33ED"/>
    <w:rsid w:val="00EF4509"/>
    <w:rsid w:val="00EF4D00"/>
    <w:rsid w:val="00EF583B"/>
    <w:rsid w:val="00EF79F4"/>
    <w:rsid w:val="00F02B6D"/>
    <w:rsid w:val="00F04856"/>
    <w:rsid w:val="00F14401"/>
    <w:rsid w:val="00F2385A"/>
    <w:rsid w:val="00F25354"/>
    <w:rsid w:val="00F3161B"/>
    <w:rsid w:val="00F35F38"/>
    <w:rsid w:val="00F35FD8"/>
    <w:rsid w:val="00F36FE7"/>
    <w:rsid w:val="00F403DD"/>
    <w:rsid w:val="00F470F5"/>
    <w:rsid w:val="00F476E1"/>
    <w:rsid w:val="00F5116F"/>
    <w:rsid w:val="00F53042"/>
    <w:rsid w:val="00F53315"/>
    <w:rsid w:val="00F53980"/>
    <w:rsid w:val="00F55A6C"/>
    <w:rsid w:val="00F55BFF"/>
    <w:rsid w:val="00F56A9F"/>
    <w:rsid w:val="00F61174"/>
    <w:rsid w:val="00F64246"/>
    <w:rsid w:val="00F75D4E"/>
    <w:rsid w:val="00F808E9"/>
    <w:rsid w:val="00F83F1C"/>
    <w:rsid w:val="00F84AA3"/>
    <w:rsid w:val="00F85B96"/>
    <w:rsid w:val="00F8686A"/>
    <w:rsid w:val="00F94EE1"/>
    <w:rsid w:val="00FA13BC"/>
    <w:rsid w:val="00FA16E9"/>
    <w:rsid w:val="00FA70E9"/>
    <w:rsid w:val="00FB49B6"/>
    <w:rsid w:val="00FC3917"/>
    <w:rsid w:val="00FC39D6"/>
    <w:rsid w:val="00FC6E82"/>
    <w:rsid w:val="00FC7557"/>
    <w:rsid w:val="00FC7FEA"/>
    <w:rsid w:val="00FD1218"/>
    <w:rsid w:val="00FD1EB7"/>
    <w:rsid w:val="00FD2518"/>
    <w:rsid w:val="00FD5282"/>
    <w:rsid w:val="00FE0026"/>
    <w:rsid w:val="00FE3B3E"/>
    <w:rsid w:val="00FE3C8B"/>
    <w:rsid w:val="00FE40F7"/>
    <w:rsid w:val="00FE6833"/>
    <w:rsid w:val="00FE6D42"/>
    <w:rsid w:val="00FF091F"/>
    <w:rsid w:val="00FF2F52"/>
    <w:rsid w:val="00FF54D1"/>
    <w:rsid w:val="00FF6294"/>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287DF"/>
  <w15:chartTrackingRefBased/>
  <w15:docId w15:val="{75A16765-AABD-4B1B-8951-3EB32F01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00F"/>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F3A7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F3A73"/>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F3A73"/>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F3A73"/>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5F3A73"/>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5F3A73"/>
    <w:pPr>
      <w:spacing w:before="240" w:after="60"/>
      <w:outlineLvl w:val="7"/>
    </w:pPr>
    <w:rPr>
      <w:i/>
      <w:iCs/>
    </w:rPr>
  </w:style>
  <w:style w:type="paragraph" w:styleId="Heading9">
    <w:name w:val="heading 9"/>
    <w:basedOn w:val="Normal"/>
    <w:next w:val="Normal"/>
    <w:link w:val="Heading9Char"/>
    <w:qFormat/>
    <w:rsid w:val="005F3A73"/>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A73"/>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5F3A73"/>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5F3A73"/>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5F3A73"/>
    <w:rPr>
      <w:rFonts w:ascii="Times New Roman" w:eastAsia="Times New Roman" w:hAnsi="Times New Roman" w:cs="Times New Roman"/>
      <w:b/>
      <w:bCs/>
      <w:sz w:val="72"/>
      <w:szCs w:val="72"/>
    </w:rPr>
  </w:style>
  <w:style w:type="character" w:customStyle="1" w:styleId="Heading5Char">
    <w:name w:val="Heading 5 Char"/>
    <w:basedOn w:val="DefaultParagraphFont"/>
    <w:link w:val="Heading5"/>
    <w:rsid w:val="005F3A73"/>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5F3A73"/>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5F3A73"/>
    <w:rPr>
      <w:rFonts w:ascii="Arial" w:eastAsia="Times New Roman" w:hAnsi="Arial" w:cs="Times New Roman"/>
      <w:lang w:val="ru-RU" w:eastAsia="ru-RU"/>
    </w:rPr>
  </w:style>
  <w:style w:type="table" w:styleId="TableGrid">
    <w:name w:val="Table Grid"/>
    <w:basedOn w:val="TableNormal"/>
    <w:uiPriority w:val="39"/>
    <w:rsid w:val="005F3A7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5F3A73"/>
    <w:pPr>
      <w:ind w:firstLine="567"/>
      <w:jc w:val="both"/>
    </w:pPr>
    <w:rPr>
      <w:lang w:bidi="or-IN"/>
    </w:rPr>
  </w:style>
  <w:style w:type="character" w:customStyle="1" w:styleId="NormalWebChar">
    <w:name w:val="Normal (Web) Char"/>
    <w:link w:val="NormalWeb"/>
    <w:uiPriority w:val="99"/>
    <w:rsid w:val="005F3A73"/>
    <w:rPr>
      <w:rFonts w:ascii="Times New Roman" w:eastAsia="Times New Roman" w:hAnsi="Times New Roman" w:cs="Times New Roman"/>
      <w:sz w:val="24"/>
      <w:szCs w:val="24"/>
      <w:lang w:val="ru-RU" w:eastAsia="ru-RU" w:bidi="or-IN"/>
    </w:rPr>
  </w:style>
  <w:style w:type="paragraph" w:styleId="BodyTextIndent">
    <w:name w:val="Body Text Indent"/>
    <w:basedOn w:val="Normal"/>
    <w:link w:val="BodyTextIndentChar"/>
    <w:rsid w:val="005F3A73"/>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5F3A73"/>
    <w:rPr>
      <w:rFonts w:ascii="Times New Roman" w:eastAsia="Times New Roman" w:hAnsi="Times New Roman" w:cs="Times New Roman"/>
      <w:sz w:val="28"/>
      <w:szCs w:val="28"/>
      <w:lang w:val="ru-RU"/>
    </w:rPr>
  </w:style>
  <w:style w:type="paragraph" w:styleId="Header">
    <w:name w:val="header"/>
    <w:basedOn w:val="Normal"/>
    <w:link w:val="HeaderChar"/>
    <w:rsid w:val="005F3A73"/>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5F3A73"/>
    <w:rPr>
      <w:rFonts w:ascii="Times New Roman" w:eastAsia="Times New Roman" w:hAnsi="Times New Roman" w:cs="Times New Roman"/>
      <w:sz w:val="28"/>
      <w:szCs w:val="20"/>
      <w:lang w:val="ro-RO"/>
    </w:rPr>
  </w:style>
  <w:style w:type="paragraph" w:styleId="BodyTextIndent2">
    <w:name w:val="Body Text Indent 2"/>
    <w:basedOn w:val="Normal"/>
    <w:link w:val="BodyTextIndent2Char"/>
    <w:rsid w:val="005F3A73"/>
    <w:pPr>
      <w:spacing w:after="120" w:line="480" w:lineRule="auto"/>
      <w:ind w:left="283"/>
    </w:pPr>
  </w:style>
  <w:style w:type="character" w:customStyle="1" w:styleId="BodyTextIndent2Char">
    <w:name w:val="Body Text Indent 2 Char"/>
    <w:basedOn w:val="DefaultParagraphFont"/>
    <w:link w:val="BodyTextIndent2"/>
    <w:rsid w:val="005F3A73"/>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5F3A73"/>
    <w:pPr>
      <w:jc w:val="both"/>
    </w:pPr>
    <w:rPr>
      <w:sz w:val="20"/>
      <w:szCs w:val="20"/>
      <w:lang w:val="ro-RO" w:eastAsia="en-US"/>
    </w:rPr>
  </w:style>
  <w:style w:type="character" w:customStyle="1" w:styleId="FootnoteTextChar">
    <w:name w:val="Footnote Text Char"/>
    <w:basedOn w:val="DefaultParagraphFont"/>
    <w:link w:val="FootnoteText"/>
    <w:semiHidden/>
    <w:rsid w:val="005F3A73"/>
    <w:rPr>
      <w:rFonts w:ascii="Times New Roman" w:eastAsia="Times New Roman" w:hAnsi="Times New Roman" w:cs="Times New Roman"/>
      <w:sz w:val="20"/>
      <w:szCs w:val="20"/>
      <w:lang w:val="ro-RO"/>
    </w:rPr>
  </w:style>
  <w:style w:type="paragraph" w:styleId="Footer">
    <w:name w:val="footer"/>
    <w:basedOn w:val="Normal"/>
    <w:link w:val="FooterChar"/>
    <w:uiPriority w:val="99"/>
    <w:rsid w:val="005F3A73"/>
    <w:pPr>
      <w:tabs>
        <w:tab w:val="center" w:pos="4677"/>
        <w:tab w:val="right" w:pos="9355"/>
      </w:tabs>
    </w:pPr>
  </w:style>
  <w:style w:type="character" w:customStyle="1" w:styleId="FooterChar">
    <w:name w:val="Footer Char"/>
    <w:basedOn w:val="DefaultParagraphFont"/>
    <w:link w:val="Footer"/>
    <w:uiPriority w:val="99"/>
    <w:rsid w:val="005F3A73"/>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5F3A73"/>
    <w:pPr>
      <w:spacing w:after="120"/>
      <w:ind w:left="283"/>
    </w:pPr>
    <w:rPr>
      <w:sz w:val="16"/>
      <w:szCs w:val="16"/>
    </w:rPr>
  </w:style>
  <w:style w:type="character" w:customStyle="1" w:styleId="BodyTextIndent3Char">
    <w:name w:val="Body Text Indent 3 Char"/>
    <w:basedOn w:val="DefaultParagraphFont"/>
    <w:link w:val="BodyTextIndent3"/>
    <w:rsid w:val="005F3A73"/>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5F3A73"/>
    <w:pPr>
      <w:spacing w:after="120" w:line="480" w:lineRule="auto"/>
    </w:pPr>
  </w:style>
  <w:style w:type="character" w:customStyle="1" w:styleId="BodyText2Char">
    <w:name w:val="Body Text 2 Char"/>
    <w:basedOn w:val="DefaultParagraphFont"/>
    <w:link w:val="BodyText2"/>
    <w:rsid w:val="005F3A73"/>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5F3A73"/>
  </w:style>
  <w:style w:type="paragraph" w:customStyle="1" w:styleId="cp">
    <w:name w:val="cp"/>
    <w:basedOn w:val="Normal"/>
    <w:rsid w:val="005F3A73"/>
    <w:pPr>
      <w:jc w:val="center"/>
    </w:pPr>
    <w:rPr>
      <w:b/>
      <w:bCs/>
      <w:lang w:bidi="or-IN"/>
    </w:rPr>
  </w:style>
  <w:style w:type="paragraph" w:customStyle="1" w:styleId="md">
    <w:name w:val="md"/>
    <w:basedOn w:val="Normal"/>
    <w:rsid w:val="005F3A73"/>
    <w:pPr>
      <w:ind w:firstLine="567"/>
      <w:jc w:val="both"/>
    </w:pPr>
    <w:rPr>
      <w:i/>
      <w:iCs/>
      <w:color w:val="663300"/>
      <w:sz w:val="20"/>
      <w:szCs w:val="20"/>
      <w:lang w:bidi="or-IN"/>
    </w:rPr>
  </w:style>
  <w:style w:type="paragraph" w:styleId="BodyText3">
    <w:name w:val="Body Text 3"/>
    <w:basedOn w:val="Normal"/>
    <w:link w:val="BodyText3Char"/>
    <w:rsid w:val="005F3A73"/>
    <w:pPr>
      <w:spacing w:after="120"/>
    </w:pPr>
    <w:rPr>
      <w:sz w:val="16"/>
      <w:szCs w:val="16"/>
    </w:rPr>
  </w:style>
  <w:style w:type="character" w:customStyle="1" w:styleId="BodyText3Char">
    <w:name w:val="Body Text 3 Char"/>
    <w:basedOn w:val="DefaultParagraphFont"/>
    <w:link w:val="BodyText3"/>
    <w:rsid w:val="005F3A73"/>
    <w:rPr>
      <w:rFonts w:ascii="Times New Roman" w:eastAsia="Times New Roman" w:hAnsi="Times New Roman" w:cs="Times New Roman"/>
      <w:sz w:val="16"/>
      <w:szCs w:val="16"/>
      <w:lang w:val="ru-RU" w:eastAsia="ru-RU"/>
    </w:rPr>
  </w:style>
  <w:style w:type="character" w:styleId="Strong">
    <w:name w:val="Strong"/>
    <w:uiPriority w:val="22"/>
    <w:qFormat/>
    <w:rsid w:val="005F3A73"/>
    <w:rPr>
      <w:b/>
      <w:bCs/>
    </w:rPr>
  </w:style>
  <w:style w:type="character" w:customStyle="1" w:styleId="a">
    <w:name w:val="a"/>
    <w:basedOn w:val="DefaultParagraphFont"/>
    <w:rsid w:val="005F3A73"/>
  </w:style>
  <w:style w:type="paragraph" w:customStyle="1" w:styleId="cb">
    <w:name w:val="cb"/>
    <w:basedOn w:val="Normal"/>
    <w:rsid w:val="005F3A73"/>
    <w:pPr>
      <w:jc w:val="center"/>
    </w:pPr>
    <w:rPr>
      <w:b/>
      <w:bCs/>
      <w:lang w:bidi="or-IN"/>
    </w:rPr>
  </w:style>
  <w:style w:type="paragraph" w:customStyle="1" w:styleId="cn">
    <w:name w:val="cn"/>
    <w:basedOn w:val="Normal"/>
    <w:rsid w:val="005F3A73"/>
    <w:pPr>
      <w:jc w:val="center"/>
    </w:pPr>
    <w:rPr>
      <w:lang w:bidi="or-IN"/>
    </w:rPr>
  </w:style>
  <w:style w:type="paragraph" w:customStyle="1" w:styleId="tt">
    <w:name w:val="tt"/>
    <w:basedOn w:val="Normal"/>
    <w:rsid w:val="005F3A73"/>
    <w:pPr>
      <w:jc w:val="center"/>
    </w:pPr>
    <w:rPr>
      <w:b/>
      <w:bCs/>
      <w:lang w:bidi="or-IN"/>
    </w:rPr>
  </w:style>
  <w:style w:type="paragraph" w:customStyle="1" w:styleId="a0">
    <w:name w:val="Знак"/>
    <w:basedOn w:val="Normal"/>
    <w:rsid w:val="005F3A73"/>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5F3A73"/>
    <w:pPr>
      <w:spacing w:after="120"/>
    </w:pPr>
  </w:style>
  <w:style w:type="character" w:customStyle="1" w:styleId="BodyTextChar">
    <w:name w:val="Body Text Char"/>
    <w:basedOn w:val="DefaultParagraphFont"/>
    <w:link w:val="BodyText"/>
    <w:rsid w:val="005F3A73"/>
    <w:rPr>
      <w:rFonts w:ascii="Times New Roman" w:eastAsia="Times New Roman" w:hAnsi="Times New Roman" w:cs="Times New Roman"/>
      <w:sz w:val="24"/>
      <w:szCs w:val="24"/>
      <w:lang w:val="ru-RU" w:eastAsia="ru-RU"/>
    </w:rPr>
  </w:style>
  <w:style w:type="character" w:customStyle="1" w:styleId="BalloonTextChar">
    <w:name w:val="Balloon Text Char"/>
    <w:basedOn w:val="DefaultParagraphFont"/>
    <w:link w:val="BalloonText"/>
    <w:semiHidden/>
    <w:rsid w:val="005F3A73"/>
    <w:rPr>
      <w:rFonts w:ascii="Tahoma" w:eastAsia="Times New Roman" w:hAnsi="Tahoma" w:cs="Times New Roman"/>
      <w:sz w:val="16"/>
      <w:szCs w:val="16"/>
      <w:lang w:val="ru-RU" w:eastAsia="ru-RU"/>
    </w:rPr>
  </w:style>
  <w:style w:type="paragraph" w:styleId="BalloonText">
    <w:name w:val="Balloon Text"/>
    <w:basedOn w:val="Normal"/>
    <w:link w:val="BalloonTextChar"/>
    <w:semiHidden/>
    <w:rsid w:val="005F3A73"/>
    <w:rPr>
      <w:rFonts w:ascii="Tahoma" w:hAnsi="Tahoma"/>
      <w:sz w:val="16"/>
      <w:szCs w:val="16"/>
    </w:rPr>
  </w:style>
  <w:style w:type="paragraph" w:styleId="HTMLPreformatted">
    <w:name w:val="HTML Preformatted"/>
    <w:basedOn w:val="Normal"/>
    <w:link w:val="HTMLPreformattedChar"/>
    <w:rsid w:val="005F3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5F3A73"/>
    <w:rPr>
      <w:rFonts w:ascii="Courier New" w:eastAsia="Times New Roman" w:hAnsi="Courier New" w:cs="Courier New"/>
      <w:sz w:val="20"/>
      <w:szCs w:val="20"/>
      <w:lang w:val="ru-RU" w:eastAsia="ru-RU" w:bidi="or-IN"/>
    </w:rPr>
  </w:style>
  <w:style w:type="character" w:styleId="Hyperlink">
    <w:name w:val="Hyperlink"/>
    <w:uiPriority w:val="99"/>
    <w:rsid w:val="005F3A73"/>
    <w:rPr>
      <w:color w:val="0000FF"/>
      <w:u w:val="single"/>
    </w:rPr>
  </w:style>
  <w:style w:type="character" w:styleId="PageNumber">
    <w:name w:val="page number"/>
    <w:basedOn w:val="DefaultParagraphFont"/>
    <w:rsid w:val="005F3A73"/>
  </w:style>
  <w:style w:type="paragraph" w:customStyle="1" w:styleId="a1">
    <w:name w:val="Знак Знак"/>
    <w:basedOn w:val="Normal"/>
    <w:next w:val="Normal"/>
    <w:rsid w:val="005F3A73"/>
    <w:pPr>
      <w:spacing w:after="160" w:line="240" w:lineRule="exact"/>
    </w:pPr>
    <w:rPr>
      <w:rFonts w:ascii="Tahoma" w:hAnsi="Tahoma"/>
      <w:szCs w:val="20"/>
      <w:lang w:val="en-US" w:eastAsia="en-US"/>
    </w:rPr>
  </w:style>
  <w:style w:type="paragraph" w:customStyle="1" w:styleId="CM1">
    <w:name w:val="CM1"/>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Default">
    <w:name w:val="Default"/>
    <w:rsid w:val="005F3A73"/>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har">
    <w:name w:val="Char"/>
    <w:basedOn w:val="Normal"/>
    <w:next w:val="Normal"/>
    <w:rsid w:val="005F3A73"/>
    <w:pPr>
      <w:spacing w:after="160" w:line="240" w:lineRule="exact"/>
    </w:pPr>
    <w:rPr>
      <w:rFonts w:ascii="Tahoma" w:hAnsi="Tahoma"/>
      <w:szCs w:val="20"/>
      <w:lang w:val="en-US" w:eastAsia="en-US"/>
    </w:rPr>
  </w:style>
  <w:style w:type="paragraph" w:customStyle="1" w:styleId="js">
    <w:name w:val="js"/>
    <w:basedOn w:val="Normal"/>
    <w:rsid w:val="005F3A73"/>
    <w:pPr>
      <w:jc w:val="both"/>
    </w:pPr>
    <w:rPr>
      <w:lang w:bidi="or-IN"/>
    </w:rPr>
  </w:style>
  <w:style w:type="paragraph" w:styleId="ListParagraph">
    <w:name w:val="List Paragraph"/>
    <w:basedOn w:val="Normal"/>
    <w:uiPriority w:val="34"/>
    <w:qFormat/>
    <w:rsid w:val="005F3A73"/>
    <w:pPr>
      <w:ind w:left="720"/>
      <w:contextualSpacing/>
    </w:pPr>
  </w:style>
  <w:style w:type="character" w:customStyle="1" w:styleId="ln2talineat">
    <w:name w:val="ln2talineat"/>
    <w:rsid w:val="005F3A73"/>
    <w:rPr>
      <w:rFonts w:cs="Times New Roman"/>
    </w:rPr>
  </w:style>
  <w:style w:type="character" w:customStyle="1" w:styleId="actcpt">
    <w:name w:val="act_cpt"/>
    <w:rsid w:val="005F3A73"/>
    <w:rPr>
      <w:rFonts w:cs="Times New Roman"/>
    </w:rPr>
  </w:style>
  <w:style w:type="character" w:customStyle="1" w:styleId="acttart">
    <w:name w:val="act_tart"/>
    <w:rsid w:val="005F3A73"/>
    <w:rPr>
      <w:rFonts w:cs="Times New Roman"/>
    </w:rPr>
  </w:style>
  <w:style w:type="character" w:customStyle="1" w:styleId="acttsct">
    <w:name w:val="act_tsct"/>
    <w:rsid w:val="005F3A73"/>
    <w:rPr>
      <w:rFonts w:cs="Times New Roman"/>
    </w:rPr>
  </w:style>
  <w:style w:type="character" w:customStyle="1" w:styleId="acttalineat">
    <w:name w:val="act_talineat"/>
    <w:rsid w:val="005F3A73"/>
    <w:rPr>
      <w:rFonts w:cs="Times New Roman"/>
    </w:rPr>
  </w:style>
  <w:style w:type="character" w:customStyle="1" w:styleId="actsct">
    <w:name w:val="act_sct"/>
    <w:rsid w:val="005F3A73"/>
    <w:rPr>
      <w:rFonts w:cs="Times New Roman"/>
    </w:rPr>
  </w:style>
  <w:style w:type="character" w:customStyle="1" w:styleId="ln2tarticol">
    <w:name w:val="ln2tarticol"/>
    <w:rsid w:val="005F3A73"/>
    <w:rPr>
      <w:rFonts w:cs="Times New Roman"/>
    </w:rPr>
  </w:style>
  <w:style w:type="character" w:customStyle="1" w:styleId="acttpunct">
    <w:name w:val="act_tpunct"/>
    <w:rsid w:val="005F3A73"/>
    <w:rPr>
      <w:rFonts w:cs="Times New Roman"/>
    </w:rPr>
  </w:style>
  <w:style w:type="character" w:customStyle="1" w:styleId="ln2articol">
    <w:name w:val="ln2articol"/>
    <w:rsid w:val="005F3A73"/>
    <w:rPr>
      <w:rFonts w:cs="Times New Roman"/>
    </w:rPr>
  </w:style>
  <w:style w:type="character" w:customStyle="1" w:styleId="ln2tlitera">
    <w:name w:val="ln2tlitera"/>
    <w:rsid w:val="005F3A73"/>
    <w:rPr>
      <w:rFonts w:cs="Times New Roman"/>
    </w:rPr>
  </w:style>
  <w:style w:type="character" w:customStyle="1" w:styleId="ln2alineat">
    <w:name w:val="ln2alineat"/>
    <w:rsid w:val="005F3A73"/>
    <w:rPr>
      <w:rFonts w:cs="Times New Roman"/>
    </w:rPr>
  </w:style>
  <w:style w:type="character" w:customStyle="1" w:styleId="actart">
    <w:name w:val="act_art"/>
    <w:rsid w:val="005F3A73"/>
    <w:rPr>
      <w:rFonts w:cs="Times New Roman"/>
    </w:rPr>
  </w:style>
  <w:style w:type="character" w:customStyle="1" w:styleId="ln2litera">
    <w:name w:val="ln2litera"/>
    <w:rsid w:val="005F3A73"/>
    <w:rPr>
      <w:rFonts w:cs="Times New Roman"/>
    </w:rPr>
  </w:style>
  <w:style w:type="character" w:customStyle="1" w:styleId="hps">
    <w:name w:val="hps"/>
    <w:rsid w:val="005F3A73"/>
    <w:rPr>
      <w:rFonts w:cs="Times New Roman"/>
    </w:rPr>
  </w:style>
  <w:style w:type="paragraph" w:customStyle="1" w:styleId="title-division-12">
    <w:name w:val="title-division-12"/>
    <w:basedOn w:val="Normal"/>
    <w:rsid w:val="005F3A73"/>
    <w:pPr>
      <w:spacing w:after="120" w:line="312" w:lineRule="atLeast"/>
      <w:jc w:val="center"/>
    </w:pPr>
    <w:rPr>
      <w:lang w:val="en-US" w:eastAsia="en-US"/>
    </w:rPr>
  </w:style>
  <w:style w:type="paragraph" w:customStyle="1" w:styleId="title-division-22">
    <w:name w:val="title-division-22"/>
    <w:basedOn w:val="Normal"/>
    <w:rsid w:val="005F3A73"/>
    <w:pPr>
      <w:spacing w:after="120" w:line="312" w:lineRule="atLeast"/>
      <w:jc w:val="center"/>
    </w:pPr>
    <w:rPr>
      <w:b/>
      <w:bCs/>
      <w:lang w:val="en-US" w:eastAsia="en-US"/>
    </w:rPr>
  </w:style>
  <w:style w:type="paragraph" w:customStyle="1" w:styleId="CM42">
    <w:name w:val="CM4+2"/>
    <w:basedOn w:val="Default"/>
    <w:next w:val="Default"/>
    <w:uiPriority w:val="99"/>
    <w:rsid w:val="005F3A73"/>
    <w:rPr>
      <w:rFonts w:eastAsiaTheme="minorHAnsi" w:cstheme="minorBidi"/>
      <w:color w:val="auto"/>
    </w:rPr>
  </w:style>
  <w:style w:type="paragraph" w:customStyle="1" w:styleId="Style49">
    <w:name w:val="Style49"/>
    <w:basedOn w:val="Normal"/>
    <w:uiPriority w:val="99"/>
    <w:rsid w:val="005F3A73"/>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5F3A73"/>
    <w:rPr>
      <w:rFonts w:ascii="Book Antiqua" w:hAnsi="Book Antiqua" w:cs="Book Antiqua"/>
      <w:color w:val="000000"/>
      <w:sz w:val="16"/>
      <w:szCs w:val="16"/>
    </w:rPr>
  </w:style>
  <w:style w:type="paragraph" w:customStyle="1" w:styleId="Style5">
    <w:name w:val="Style5"/>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5F3A73"/>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5F3A73"/>
    <w:rPr>
      <w:rFonts w:ascii="Book Antiqua" w:hAnsi="Book Antiqua" w:cs="Book Antiqua"/>
      <w:b/>
      <w:bCs/>
      <w:color w:val="000000"/>
      <w:sz w:val="16"/>
      <w:szCs w:val="16"/>
    </w:rPr>
  </w:style>
  <w:style w:type="character" w:customStyle="1" w:styleId="FontStyle163">
    <w:name w:val="Font Style163"/>
    <w:basedOn w:val="DefaultParagraphFont"/>
    <w:uiPriority w:val="99"/>
    <w:rsid w:val="005F3A73"/>
    <w:rPr>
      <w:rFonts w:ascii="Book Antiqua" w:hAnsi="Book Antiqua" w:cs="Book Antiqua"/>
      <w:i/>
      <w:iCs/>
      <w:color w:val="000000"/>
      <w:sz w:val="16"/>
      <w:szCs w:val="16"/>
    </w:rPr>
  </w:style>
  <w:style w:type="character" w:customStyle="1" w:styleId="subscript">
    <w:name w:val="subscript"/>
    <w:basedOn w:val="DefaultParagraphFont"/>
    <w:rsid w:val="005F3A73"/>
  </w:style>
  <w:style w:type="character" w:customStyle="1" w:styleId="apple-converted-space">
    <w:name w:val="apple-converted-space"/>
    <w:basedOn w:val="DefaultParagraphFont"/>
    <w:rsid w:val="005F3A73"/>
  </w:style>
  <w:style w:type="paragraph" w:customStyle="1" w:styleId="Style44">
    <w:name w:val="Style44"/>
    <w:basedOn w:val="Normal"/>
    <w:uiPriority w:val="99"/>
    <w:rsid w:val="005F3A73"/>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5F3A73"/>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5F3A73"/>
    <w:rPr>
      <w:rFonts w:ascii="Book Antiqua" w:hAnsi="Book Antiqua" w:cs="Book Antiqua"/>
      <w:color w:val="000000"/>
      <w:sz w:val="14"/>
      <w:szCs w:val="14"/>
    </w:rPr>
  </w:style>
  <w:style w:type="character" w:customStyle="1" w:styleId="FontStyle169">
    <w:name w:val="Font Style169"/>
    <w:basedOn w:val="DefaultParagraphFont"/>
    <w:uiPriority w:val="99"/>
    <w:rsid w:val="005F3A73"/>
    <w:rPr>
      <w:rFonts w:ascii="Book Antiqua" w:hAnsi="Book Antiqua" w:cs="Book Antiqua"/>
      <w:color w:val="000000"/>
      <w:sz w:val="12"/>
      <w:szCs w:val="12"/>
    </w:rPr>
  </w:style>
  <w:style w:type="paragraph" w:customStyle="1" w:styleId="Style69">
    <w:name w:val="Style69"/>
    <w:basedOn w:val="Normal"/>
    <w:uiPriority w:val="99"/>
    <w:rsid w:val="005F3A73"/>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5F3A73"/>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5F3A73"/>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5F3A73"/>
  </w:style>
  <w:style w:type="paragraph" w:customStyle="1" w:styleId="Style79">
    <w:name w:val="Style79"/>
    <w:basedOn w:val="Normal"/>
    <w:uiPriority w:val="99"/>
    <w:rsid w:val="005F3A73"/>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5F3A73"/>
    <w:rPr>
      <w:rFonts w:ascii="Book Antiqua" w:hAnsi="Book Antiqua" w:cs="Book Antiqua" w:hint="default"/>
      <w:i/>
      <w:iCs/>
      <w:color w:val="000000"/>
      <w:sz w:val="14"/>
      <w:szCs w:val="14"/>
    </w:rPr>
  </w:style>
  <w:style w:type="paragraph" w:customStyle="1" w:styleId="Style119">
    <w:name w:val="Style119"/>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5F3A73"/>
    <w:rPr>
      <w:rFonts w:eastAsiaTheme="minorHAnsi" w:cstheme="minorBidi"/>
      <w:color w:val="auto"/>
    </w:rPr>
  </w:style>
  <w:style w:type="paragraph" w:customStyle="1" w:styleId="CM44">
    <w:name w:val="CM4+4"/>
    <w:basedOn w:val="Default"/>
    <w:next w:val="Default"/>
    <w:uiPriority w:val="99"/>
    <w:rsid w:val="005F3A73"/>
    <w:rPr>
      <w:rFonts w:eastAsiaTheme="minorHAnsi" w:cstheme="minorBidi"/>
      <w:color w:val="auto"/>
    </w:rPr>
  </w:style>
  <w:style w:type="paragraph" w:customStyle="1" w:styleId="Style125">
    <w:name w:val="Style125"/>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5F3A73"/>
    <w:rPr>
      <w:rFonts w:ascii="Book Antiqua" w:hAnsi="Book Antiqua" w:cs="Book Antiqua"/>
      <w:color w:val="000000"/>
      <w:sz w:val="14"/>
      <w:szCs w:val="14"/>
    </w:rPr>
  </w:style>
  <w:style w:type="paragraph" w:customStyle="1" w:styleId="CM45">
    <w:name w:val="CM4+5"/>
    <w:basedOn w:val="Default"/>
    <w:next w:val="Default"/>
    <w:uiPriority w:val="99"/>
    <w:rsid w:val="005F3A73"/>
    <w:rPr>
      <w:rFonts w:eastAsiaTheme="minorHAnsi" w:cstheme="minorBidi"/>
      <w:color w:val="auto"/>
    </w:rPr>
  </w:style>
  <w:style w:type="paragraph" w:customStyle="1" w:styleId="CM15">
    <w:name w:val="CM1+5"/>
    <w:basedOn w:val="Default"/>
    <w:next w:val="Default"/>
    <w:uiPriority w:val="99"/>
    <w:rsid w:val="005F3A73"/>
    <w:rPr>
      <w:rFonts w:eastAsiaTheme="minorHAnsi" w:cstheme="minorBidi"/>
      <w:color w:val="auto"/>
    </w:rPr>
  </w:style>
  <w:style w:type="paragraph" w:customStyle="1" w:styleId="Style75">
    <w:name w:val="Style75"/>
    <w:basedOn w:val="Normal"/>
    <w:uiPriority w:val="99"/>
    <w:rsid w:val="005F3A73"/>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iPriority w:val="99"/>
    <w:unhideWhenUsed/>
    <w:rsid w:val="005F3A73"/>
    <w:rPr>
      <w:sz w:val="16"/>
      <w:szCs w:val="16"/>
    </w:rPr>
  </w:style>
  <w:style w:type="paragraph" w:styleId="CommentText">
    <w:name w:val="annotation text"/>
    <w:basedOn w:val="Normal"/>
    <w:link w:val="CommentTextChar"/>
    <w:uiPriority w:val="99"/>
    <w:unhideWhenUsed/>
    <w:rsid w:val="005F3A73"/>
    <w:rPr>
      <w:sz w:val="20"/>
      <w:szCs w:val="20"/>
    </w:rPr>
  </w:style>
  <w:style w:type="character" w:customStyle="1" w:styleId="CommentTextChar">
    <w:name w:val="Comment Text Char"/>
    <w:basedOn w:val="DefaultParagraphFont"/>
    <w:link w:val="CommentText"/>
    <w:uiPriority w:val="99"/>
    <w:rsid w:val="005F3A73"/>
    <w:rPr>
      <w:rFonts w:ascii="Times New Roman" w:eastAsia="Times New Roman" w:hAnsi="Times New Roman" w:cs="Times New Roman"/>
      <w:sz w:val="20"/>
      <w:szCs w:val="20"/>
      <w:lang w:val="ru-RU" w:eastAsia="ru-RU"/>
    </w:rPr>
  </w:style>
  <w:style w:type="character" w:customStyle="1" w:styleId="CommentSubjectChar">
    <w:name w:val="Comment Subject Char"/>
    <w:basedOn w:val="CommentTextChar"/>
    <w:link w:val="CommentSubject"/>
    <w:uiPriority w:val="99"/>
    <w:semiHidden/>
    <w:rsid w:val="005F3A73"/>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5F3A73"/>
    <w:rPr>
      <w:b/>
      <w:bCs/>
    </w:rPr>
  </w:style>
  <w:style w:type="paragraph" w:customStyle="1" w:styleId="norm">
    <w:name w:val="norm"/>
    <w:basedOn w:val="Normal"/>
    <w:rsid w:val="005F3A73"/>
    <w:pPr>
      <w:spacing w:before="120"/>
      <w:jc w:val="both"/>
    </w:pPr>
    <w:rPr>
      <w:lang w:val="en-US" w:eastAsia="en-US"/>
    </w:rPr>
  </w:style>
  <w:style w:type="paragraph" w:customStyle="1" w:styleId="title-article-norm">
    <w:name w:val="title-article-norm"/>
    <w:basedOn w:val="Normal"/>
    <w:rsid w:val="005F3A73"/>
    <w:pPr>
      <w:spacing w:before="240" w:after="120"/>
      <w:jc w:val="center"/>
    </w:pPr>
    <w:rPr>
      <w:i/>
      <w:iCs/>
      <w:lang w:val="en-US" w:eastAsia="en-US"/>
    </w:rPr>
  </w:style>
  <w:style w:type="paragraph" w:customStyle="1" w:styleId="footnote-spec">
    <w:name w:val="footnote-spec"/>
    <w:basedOn w:val="Normal"/>
    <w:rsid w:val="005F3A73"/>
    <w:pPr>
      <w:spacing w:before="60"/>
      <w:jc w:val="both"/>
    </w:pPr>
    <w:rPr>
      <w:lang w:val="en-US" w:eastAsia="en-US"/>
    </w:rPr>
  </w:style>
  <w:style w:type="paragraph" w:customStyle="1" w:styleId="stitle-article-norm">
    <w:name w:val="stitle-article-norm"/>
    <w:basedOn w:val="Normal"/>
    <w:rsid w:val="005F3A73"/>
    <w:pPr>
      <w:spacing w:before="240" w:after="120"/>
      <w:jc w:val="center"/>
    </w:pPr>
    <w:rPr>
      <w:b/>
      <w:bCs/>
      <w:lang w:val="en-US" w:eastAsia="en-US"/>
    </w:rPr>
  </w:style>
  <w:style w:type="paragraph" w:customStyle="1" w:styleId="title-division-1">
    <w:name w:val="title-division-1"/>
    <w:basedOn w:val="Normal"/>
    <w:rsid w:val="005F3A73"/>
    <w:pPr>
      <w:spacing w:after="120"/>
      <w:jc w:val="center"/>
    </w:pPr>
    <w:rPr>
      <w:lang w:val="en-US" w:eastAsia="en-US"/>
    </w:rPr>
  </w:style>
  <w:style w:type="paragraph" w:customStyle="1" w:styleId="title-division-2">
    <w:name w:val="title-division-2"/>
    <w:basedOn w:val="Normal"/>
    <w:rsid w:val="005F3A73"/>
    <w:pPr>
      <w:spacing w:after="120"/>
      <w:jc w:val="center"/>
    </w:pPr>
    <w:rPr>
      <w:b/>
      <w:bCs/>
      <w:lang w:val="en-US" w:eastAsia="en-US"/>
    </w:rPr>
  </w:style>
  <w:style w:type="character" w:customStyle="1" w:styleId="superscript">
    <w:name w:val="superscript"/>
    <w:basedOn w:val="DefaultParagraphFont"/>
    <w:rsid w:val="005F3A73"/>
    <w:rPr>
      <w:sz w:val="17"/>
      <w:szCs w:val="17"/>
      <w:vertAlign w:val="superscript"/>
    </w:rPr>
  </w:style>
  <w:style w:type="paragraph" w:styleId="PlainText">
    <w:name w:val="Plain Text"/>
    <w:basedOn w:val="Normal"/>
    <w:link w:val="PlainTextChar"/>
    <w:rsid w:val="005F3A73"/>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5F3A73"/>
    <w:rPr>
      <w:rFonts w:ascii="Courier New" w:eastAsia="Times New Roman" w:hAnsi="Courier New" w:cs="Courier New"/>
      <w:sz w:val="20"/>
      <w:szCs w:val="20"/>
    </w:rPr>
  </w:style>
  <w:style w:type="paragraph" w:customStyle="1" w:styleId="title-doc-first">
    <w:name w:val="title-doc-first"/>
    <w:basedOn w:val="Normal"/>
    <w:rsid w:val="005F3A73"/>
    <w:pPr>
      <w:spacing w:before="120"/>
      <w:jc w:val="center"/>
    </w:pPr>
    <w:rPr>
      <w:b/>
      <w:bCs/>
      <w:lang w:val="en-US" w:eastAsia="en-US"/>
    </w:rPr>
  </w:style>
  <w:style w:type="paragraph" w:customStyle="1" w:styleId="toc-1">
    <w:name w:val="toc-1"/>
    <w:basedOn w:val="Normal"/>
    <w:rsid w:val="005F3A73"/>
    <w:pPr>
      <w:spacing w:before="100" w:beforeAutospacing="1" w:after="100" w:afterAutospacing="1"/>
    </w:pPr>
    <w:rPr>
      <w:lang w:val="en-US" w:eastAsia="en-US"/>
    </w:rPr>
  </w:style>
  <w:style w:type="paragraph" w:customStyle="1" w:styleId="modref">
    <w:name w:val="modref"/>
    <w:basedOn w:val="Normal"/>
    <w:rsid w:val="005F3A73"/>
    <w:pPr>
      <w:spacing w:before="120"/>
    </w:pPr>
    <w:rPr>
      <w:b/>
      <w:bCs/>
      <w:lang w:val="en-US" w:eastAsia="en-US"/>
    </w:rPr>
  </w:style>
  <w:style w:type="paragraph" w:customStyle="1" w:styleId="ti-section-1">
    <w:name w:val="ti-section-1"/>
    <w:basedOn w:val="Normal"/>
    <w:rsid w:val="005F3A73"/>
    <w:pPr>
      <w:spacing w:before="480"/>
      <w:jc w:val="center"/>
    </w:pPr>
    <w:rPr>
      <w:b/>
      <w:bCs/>
      <w:lang w:val="en-US" w:eastAsia="en-US"/>
    </w:rPr>
  </w:style>
  <w:style w:type="character" w:customStyle="1" w:styleId="bold">
    <w:name w:val="bold"/>
    <w:basedOn w:val="DefaultParagraphFont"/>
    <w:rsid w:val="005F3A73"/>
    <w:rPr>
      <w:b/>
      <w:bCs/>
    </w:rPr>
  </w:style>
  <w:style w:type="paragraph" w:customStyle="1" w:styleId="ti-art">
    <w:name w:val="ti-art"/>
    <w:basedOn w:val="Normal"/>
    <w:rsid w:val="005F3A73"/>
    <w:pPr>
      <w:spacing w:before="360" w:after="120"/>
      <w:jc w:val="center"/>
    </w:pPr>
    <w:rPr>
      <w:i/>
      <w:iCs/>
      <w:lang w:val="en-US" w:eastAsia="en-US"/>
    </w:rPr>
  </w:style>
  <w:style w:type="paragraph" w:customStyle="1" w:styleId="Normal1">
    <w:name w:val="Normal1"/>
    <w:basedOn w:val="Normal"/>
    <w:rsid w:val="005F3A73"/>
    <w:pPr>
      <w:spacing w:before="120"/>
      <w:jc w:val="both"/>
    </w:pPr>
    <w:rPr>
      <w:lang w:val="en-US" w:eastAsia="en-US"/>
    </w:rPr>
  </w:style>
  <w:style w:type="paragraph" w:customStyle="1" w:styleId="container-center">
    <w:name w:val="container-center"/>
    <w:basedOn w:val="Normal"/>
    <w:rsid w:val="005F3A73"/>
    <w:pPr>
      <w:spacing w:before="100" w:beforeAutospacing="1" w:after="100" w:afterAutospacing="1"/>
      <w:jc w:val="center"/>
    </w:pPr>
    <w:rPr>
      <w:lang w:val="en-US" w:eastAsia="en-US"/>
    </w:rPr>
  </w:style>
  <w:style w:type="paragraph" w:customStyle="1" w:styleId="List1">
    <w:name w:val="List1"/>
    <w:basedOn w:val="Normal"/>
    <w:rsid w:val="005F3A73"/>
    <w:pPr>
      <w:spacing w:before="100" w:beforeAutospacing="1" w:after="100" w:afterAutospacing="1"/>
      <w:ind w:left="240"/>
      <w:jc w:val="both"/>
    </w:pPr>
    <w:rPr>
      <w:lang w:val="en-US" w:eastAsia="en-US"/>
    </w:rPr>
  </w:style>
  <w:style w:type="paragraph" w:customStyle="1" w:styleId="tbl-norm">
    <w:name w:val="tbl-norm"/>
    <w:basedOn w:val="Normal"/>
    <w:rsid w:val="005F3A73"/>
    <w:pPr>
      <w:spacing w:before="60" w:after="60"/>
      <w:jc w:val="both"/>
    </w:pPr>
    <w:rPr>
      <w:lang w:val="en-US" w:eastAsia="en-US"/>
    </w:rPr>
  </w:style>
  <w:style w:type="paragraph" w:customStyle="1" w:styleId="title-table">
    <w:name w:val="title-table"/>
    <w:basedOn w:val="Normal"/>
    <w:rsid w:val="005F3A73"/>
    <w:pPr>
      <w:spacing w:after="120"/>
      <w:jc w:val="center"/>
    </w:pPr>
    <w:rPr>
      <w:b/>
      <w:bCs/>
      <w:lang w:val="en-US" w:eastAsia="en-US"/>
    </w:rPr>
  </w:style>
  <w:style w:type="paragraph" w:customStyle="1" w:styleId="Normal2">
    <w:name w:val="Normal2"/>
    <w:basedOn w:val="Normal"/>
    <w:rsid w:val="005F3A73"/>
    <w:pPr>
      <w:spacing w:before="100" w:beforeAutospacing="1" w:after="100" w:afterAutospacing="1"/>
    </w:pPr>
    <w:rPr>
      <w:lang w:val="en-US" w:eastAsia="en-US"/>
    </w:rPr>
  </w:style>
  <w:style w:type="paragraph" w:customStyle="1" w:styleId="msonormal0">
    <w:name w:val="msonormal"/>
    <w:basedOn w:val="Normal"/>
    <w:rsid w:val="005F3A73"/>
    <w:pPr>
      <w:spacing w:before="100" w:beforeAutospacing="1" w:after="100" w:afterAutospacing="1"/>
    </w:pPr>
    <w:rPr>
      <w:lang w:val="en-US" w:eastAsia="en-US"/>
    </w:rPr>
  </w:style>
  <w:style w:type="paragraph" w:customStyle="1" w:styleId="norm3">
    <w:name w:val="norm3"/>
    <w:basedOn w:val="Normal"/>
    <w:rsid w:val="005F3A73"/>
    <w:pPr>
      <w:spacing w:before="120" w:line="312" w:lineRule="atLeast"/>
      <w:jc w:val="both"/>
    </w:pPr>
    <w:rPr>
      <w:lang w:val="en-US" w:eastAsia="en-US"/>
    </w:rPr>
  </w:style>
  <w:style w:type="paragraph" w:styleId="NoSpacing">
    <w:name w:val="No Spacing"/>
    <w:uiPriority w:val="1"/>
    <w:qFormat/>
    <w:rsid w:val="00190B87"/>
    <w:pPr>
      <w:spacing w:after="0" w:line="240" w:lineRule="auto"/>
    </w:pPr>
  </w:style>
  <w:style w:type="paragraph" w:styleId="Revision">
    <w:name w:val="Revision"/>
    <w:hidden/>
    <w:uiPriority w:val="99"/>
    <w:semiHidden/>
    <w:rsid w:val="00E5655A"/>
    <w:pPr>
      <w:spacing w:after="0" w:line="240" w:lineRule="auto"/>
    </w:pPr>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643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6863">
      <w:bodyDiv w:val="1"/>
      <w:marLeft w:val="0"/>
      <w:marRight w:val="0"/>
      <w:marTop w:val="0"/>
      <w:marBottom w:val="0"/>
      <w:divBdr>
        <w:top w:val="none" w:sz="0" w:space="0" w:color="auto"/>
        <w:left w:val="none" w:sz="0" w:space="0" w:color="auto"/>
        <w:bottom w:val="none" w:sz="0" w:space="0" w:color="auto"/>
        <w:right w:val="none" w:sz="0" w:space="0" w:color="auto"/>
      </w:divBdr>
    </w:div>
    <w:div w:id="241527639">
      <w:bodyDiv w:val="1"/>
      <w:marLeft w:val="0"/>
      <w:marRight w:val="0"/>
      <w:marTop w:val="0"/>
      <w:marBottom w:val="0"/>
      <w:divBdr>
        <w:top w:val="none" w:sz="0" w:space="0" w:color="auto"/>
        <w:left w:val="none" w:sz="0" w:space="0" w:color="auto"/>
        <w:bottom w:val="none" w:sz="0" w:space="0" w:color="auto"/>
        <w:right w:val="none" w:sz="0" w:space="0" w:color="auto"/>
      </w:divBdr>
    </w:div>
    <w:div w:id="507327263">
      <w:bodyDiv w:val="1"/>
      <w:marLeft w:val="0"/>
      <w:marRight w:val="0"/>
      <w:marTop w:val="0"/>
      <w:marBottom w:val="0"/>
      <w:divBdr>
        <w:top w:val="none" w:sz="0" w:space="0" w:color="auto"/>
        <w:left w:val="none" w:sz="0" w:space="0" w:color="auto"/>
        <w:bottom w:val="none" w:sz="0" w:space="0" w:color="auto"/>
        <w:right w:val="none" w:sz="0" w:space="0" w:color="auto"/>
      </w:divBdr>
    </w:div>
    <w:div w:id="520165397">
      <w:bodyDiv w:val="1"/>
      <w:marLeft w:val="0"/>
      <w:marRight w:val="0"/>
      <w:marTop w:val="0"/>
      <w:marBottom w:val="0"/>
      <w:divBdr>
        <w:top w:val="none" w:sz="0" w:space="0" w:color="auto"/>
        <w:left w:val="none" w:sz="0" w:space="0" w:color="auto"/>
        <w:bottom w:val="none" w:sz="0" w:space="0" w:color="auto"/>
        <w:right w:val="none" w:sz="0" w:space="0" w:color="auto"/>
      </w:divBdr>
      <w:divsChild>
        <w:div w:id="1674261742">
          <w:marLeft w:val="0"/>
          <w:marRight w:val="0"/>
          <w:marTop w:val="0"/>
          <w:marBottom w:val="0"/>
          <w:divBdr>
            <w:top w:val="none" w:sz="0" w:space="0" w:color="auto"/>
            <w:left w:val="none" w:sz="0" w:space="0" w:color="auto"/>
            <w:bottom w:val="none" w:sz="0" w:space="0" w:color="auto"/>
            <w:right w:val="none" w:sz="0" w:space="0" w:color="auto"/>
          </w:divBdr>
        </w:div>
      </w:divsChild>
    </w:div>
    <w:div w:id="609750364">
      <w:bodyDiv w:val="1"/>
      <w:marLeft w:val="0"/>
      <w:marRight w:val="0"/>
      <w:marTop w:val="0"/>
      <w:marBottom w:val="0"/>
      <w:divBdr>
        <w:top w:val="none" w:sz="0" w:space="0" w:color="auto"/>
        <w:left w:val="none" w:sz="0" w:space="0" w:color="auto"/>
        <w:bottom w:val="none" w:sz="0" w:space="0" w:color="auto"/>
        <w:right w:val="none" w:sz="0" w:space="0" w:color="auto"/>
      </w:divBdr>
    </w:div>
    <w:div w:id="1139497602">
      <w:bodyDiv w:val="1"/>
      <w:marLeft w:val="0"/>
      <w:marRight w:val="0"/>
      <w:marTop w:val="0"/>
      <w:marBottom w:val="0"/>
      <w:divBdr>
        <w:top w:val="none" w:sz="0" w:space="0" w:color="auto"/>
        <w:left w:val="none" w:sz="0" w:space="0" w:color="auto"/>
        <w:bottom w:val="none" w:sz="0" w:space="0" w:color="auto"/>
        <w:right w:val="none" w:sz="0" w:space="0" w:color="auto"/>
      </w:divBdr>
    </w:div>
    <w:div w:id="14236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itus xmlns="http://schemas.titus.com/TitusProperties/">
  <TitusGUID xmlns="">f9dc13b9-184d-4208-88b5-f5b58253d123</TitusGUID>
  <TitusMetadata xmlns="">eyJucyI6IioiLCJwcm9wcyI6W3sibiI6IkNsYXNpZmljYXJlIiwidmFscyI6W3sidmFsdWUiOiJOT05FIn1dfV19</TitusMetadata>
</titu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4FBFC-61C1-4D37-8324-C900C1855A7F}">
  <ds:schemaRefs>
    <ds:schemaRef ds:uri="http://schemas.openxmlformats.org/officeDocument/2006/bibliography"/>
  </ds:schemaRefs>
</ds:datastoreItem>
</file>

<file path=customXml/itemProps2.xml><?xml version="1.0" encoding="utf-8"?>
<ds:datastoreItem xmlns:ds="http://schemas.openxmlformats.org/officeDocument/2006/customXml" ds:itemID="{4A01634D-7678-43C7-9093-4ADAA281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92115-1083-4203-ABFD-04803716B09E}">
  <ds:schemaRefs>
    <ds:schemaRef ds:uri="http://schemas.titus.com/TitusProperties/"/>
    <ds:schemaRef ds:uri=""/>
  </ds:schemaRefs>
</ds:datastoreItem>
</file>

<file path=customXml/itemProps4.xml><?xml version="1.0" encoding="utf-8"?>
<ds:datastoreItem xmlns:ds="http://schemas.openxmlformats.org/officeDocument/2006/customXml" ds:itemID="{D3B0D63D-ACF7-44BB-BD70-4B691B473E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B32E8EF-D770-47C2-9539-84EA45E4C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2731</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2025-11-13T08:15:00Z</cp:lastPrinted>
  <dcterms:created xsi:type="dcterms:W3CDTF">2025-11-13T08:15:00Z</dcterms:created>
  <dcterms:modified xsi:type="dcterms:W3CDTF">2025-11-13T08:15:00Z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f9dc13b9-184d-4208-88b5-f5b58253d123</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2025-01-13T07:32:34Z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c666afc8-d817-4bf5-87cb-19c27617c07c</vt:lpwstr>
  </property>
  <property fmtid="{D5CDD505-2E9C-101B-9397-08002B2CF9AE}" pid="11" name="MSIP_Label_38962dcf-d39f-4edc-a396-338a56ba9170_ContentBits">
    <vt:lpwstr>0</vt:lpwstr>
  </property>
</Properties>
</file>